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8BF38" w14:textId="3472BC55" w:rsidR="00EA34DC" w:rsidRPr="00CE0B87" w:rsidRDefault="00EA34DC" w:rsidP="00CE0B87">
      <w:pPr>
        <w:widowControl w:val="0"/>
        <w:spacing w:after="0" w:line="360" w:lineRule="auto"/>
        <w:jc w:val="right"/>
        <w:rPr>
          <w:rFonts w:ascii="Arial" w:eastAsia="Times New Roman" w:hAnsi="Arial" w:cs="Arial"/>
          <w:b/>
          <w:bCs/>
          <w:sz w:val="24"/>
          <w:szCs w:val="24"/>
          <w:lang w:eastAsia="es-BO"/>
        </w:rPr>
      </w:pPr>
      <w:r w:rsidRPr="00CE0B87">
        <w:rPr>
          <w:rFonts w:ascii="Arial" w:eastAsia="Times New Roman" w:hAnsi="Arial" w:cs="Arial"/>
          <w:b/>
          <w:bCs/>
          <w:sz w:val="24"/>
          <w:szCs w:val="24"/>
          <w:lang w:eastAsia="es-BO"/>
        </w:rPr>
        <w:t xml:space="preserve">SENTENCIA AGROAMBIENTAL PLURINACIONAL S2ª Nº </w:t>
      </w:r>
      <w:r w:rsidR="0059796A">
        <w:rPr>
          <w:rFonts w:ascii="Arial" w:eastAsia="Times New Roman" w:hAnsi="Arial" w:cs="Arial"/>
          <w:b/>
          <w:bCs/>
          <w:sz w:val="24"/>
          <w:szCs w:val="24"/>
          <w:lang w:eastAsia="es-BO"/>
        </w:rPr>
        <w:t>32</w:t>
      </w:r>
      <w:r w:rsidRPr="00CE0B87">
        <w:rPr>
          <w:rFonts w:ascii="Arial" w:eastAsia="Times New Roman" w:hAnsi="Arial" w:cs="Arial"/>
          <w:b/>
          <w:bCs/>
          <w:sz w:val="24"/>
          <w:szCs w:val="24"/>
          <w:lang w:eastAsia="es-BO"/>
        </w:rPr>
        <w:t>/2024</w:t>
      </w:r>
    </w:p>
    <w:p w14:paraId="6D2CA5FA" w14:textId="098365FB" w:rsidR="00EA34DC" w:rsidRPr="00CE0B87" w:rsidRDefault="00EA34DC" w:rsidP="00CE0B87">
      <w:pPr>
        <w:tabs>
          <w:tab w:val="left" w:pos="1276"/>
          <w:tab w:val="left" w:pos="3544"/>
        </w:tabs>
        <w:spacing w:after="0" w:line="360" w:lineRule="auto"/>
        <w:jc w:val="both"/>
        <w:rPr>
          <w:rFonts w:ascii="Arial" w:eastAsia="Times New Roman" w:hAnsi="Arial" w:cs="Arial"/>
          <w:sz w:val="24"/>
          <w:szCs w:val="24"/>
          <w:lang w:eastAsia="es-BO"/>
        </w:rPr>
      </w:pPr>
      <w:r w:rsidRPr="00CE0B87">
        <w:rPr>
          <w:rFonts w:ascii="Arial" w:eastAsia="Times New Roman" w:hAnsi="Arial" w:cs="Arial"/>
          <w:b/>
          <w:bCs/>
          <w:sz w:val="24"/>
          <w:szCs w:val="24"/>
          <w:lang w:eastAsia="es-BO"/>
        </w:rPr>
        <w:t xml:space="preserve">       Expediente:     </w:t>
      </w:r>
      <w:r w:rsidRPr="00CE0B87">
        <w:rPr>
          <w:rFonts w:ascii="Arial" w:eastAsia="Times New Roman" w:hAnsi="Arial" w:cs="Arial"/>
          <w:b/>
          <w:bCs/>
          <w:sz w:val="24"/>
          <w:szCs w:val="24"/>
          <w:lang w:eastAsia="es-BO"/>
        </w:rPr>
        <w:tab/>
        <w:t xml:space="preserve">   </w:t>
      </w:r>
      <w:r w:rsidRPr="00CE0B87">
        <w:rPr>
          <w:rFonts w:ascii="Arial" w:eastAsia="Times New Roman" w:hAnsi="Arial" w:cs="Arial"/>
          <w:sz w:val="24"/>
          <w:szCs w:val="24"/>
          <w:lang w:eastAsia="es-BO"/>
        </w:rPr>
        <w:t>Nº 4</w:t>
      </w:r>
      <w:r w:rsidR="00FB1D34" w:rsidRPr="00CE0B87">
        <w:rPr>
          <w:rFonts w:ascii="Arial" w:eastAsia="Times New Roman" w:hAnsi="Arial" w:cs="Arial"/>
          <w:sz w:val="24"/>
          <w:szCs w:val="24"/>
          <w:lang w:eastAsia="es-BO"/>
        </w:rPr>
        <w:t>414</w:t>
      </w:r>
      <w:r w:rsidRPr="00CE0B87">
        <w:rPr>
          <w:rFonts w:ascii="Arial" w:eastAsia="Times New Roman" w:hAnsi="Arial" w:cs="Arial"/>
          <w:sz w:val="24"/>
          <w:szCs w:val="24"/>
          <w:lang w:eastAsia="es-BO"/>
        </w:rPr>
        <w:t>-DCA-202</w:t>
      </w:r>
      <w:r w:rsidR="00FB1D34" w:rsidRPr="00CE0B87">
        <w:rPr>
          <w:rFonts w:ascii="Arial" w:eastAsia="Times New Roman" w:hAnsi="Arial" w:cs="Arial"/>
          <w:sz w:val="24"/>
          <w:szCs w:val="24"/>
          <w:lang w:eastAsia="es-BO"/>
        </w:rPr>
        <w:t>1</w:t>
      </w:r>
      <w:r w:rsidRPr="00CE0B87">
        <w:rPr>
          <w:rFonts w:ascii="Arial" w:eastAsia="Times New Roman" w:hAnsi="Arial" w:cs="Arial"/>
          <w:sz w:val="24"/>
          <w:szCs w:val="24"/>
          <w:lang w:eastAsia="es-BO"/>
        </w:rPr>
        <w:t xml:space="preserve"> </w:t>
      </w:r>
    </w:p>
    <w:p w14:paraId="64E85178" w14:textId="4A6CF208" w:rsidR="00EA34DC" w:rsidRPr="00CE0B87" w:rsidRDefault="00EA34DC" w:rsidP="00CE0B87">
      <w:pPr>
        <w:tabs>
          <w:tab w:val="left" w:pos="1276"/>
          <w:tab w:val="left" w:pos="3544"/>
        </w:tabs>
        <w:spacing w:after="0" w:line="360" w:lineRule="auto"/>
        <w:jc w:val="both"/>
        <w:rPr>
          <w:rFonts w:ascii="Arial" w:eastAsia="Times New Roman" w:hAnsi="Arial" w:cs="Arial"/>
          <w:sz w:val="24"/>
          <w:szCs w:val="24"/>
          <w:lang w:eastAsia="es-BO"/>
        </w:rPr>
      </w:pPr>
      <w:r w:rsidRPr="00CE0B87">
        <w:rPr>
          <w:rFonts w:ascii="Arial" w:eastAsia="Times New Roman" w:hAnsi="Arial" w:cs="Arial"/>
          <w:b/>
          <w:sz w:val="24"/>
          <w:szCs w:val="24"/>
          <w:lang w:eastAsia="es-BO"/>
        </w:rPr>
        <w:t xml:space="preserve">       Proceso:</w:t>
      </w:r>
      <w:r w:rsidRPr="00CE0B87">
        <w:rPr>
          <w:rFonts w:ascii="Arial" w:eastAsia="Times New Roman" w:hAnsi="Arial" w:cs="Arial"/>
          <w:sz w:val="24"/>
          <w:szCs w:val="24"/>
          <w:lang w:eastAsia="es-BO"/>
        </w:rPr>
        <w:tab/>
        <w:t xml:space="preserve">   Contencioso </w:t>
      </w:r>
      <w:r w:rsidR="00FB1D34" w:rsidRPr="00CE0B87">
        <w:rPr>
          <w:rFonts w:ascii="Arial" w:eastAsia="Times New Roman" w:hAnsi="Arial" w:cs="Arial"/>
          <w:sz w:val="24"/>
          <w:szCs w:val="24"/>
          <w:lang w:eastAsia="es-BO"/>
        </w:rPr>
        <w:t>A</w:t>
      </w:r>
      <w:r w:rsidRPr="00CE0B87">
        <w:rPr>
          <w:rFonts w:ascii="Arial" w:eastAsia="Times New Roman" w:hAnsi="Arial" w:cs="Arial"/>
          <w:sz w:val="24"/>
          <w:szCs w:val="24"/>
          <w:lang w:eastAsia="es-BO"/>
        </w:rPr>
        <w:t>dministrativo</w:t>
      </w:r>
    </w:p>
    <w:p w14:paraId="3F8A46EE" w14:textId="7441CCCE" w:rsidR="00EA34DC" w:rsidRPr="00CE0B87" w:rsidRDefault="00EA34DC" w:rsidP="00CE0B87">
      <w:pPr>
        <w:tabs>
          <w:tab w:val="left" w:pos="1134"/>
        </w:tabs>
        <w:spacing w:after="0" w:line="360" w:lineRule="auto"/>
        <w:ind w:left="3735" w:hanging="3735"/>
        <w:jc w:val="both"/>
        <w:rPr>
          <w:rFonts w:ascii="Arial" w:eastAsia="Times New Roman" w:hAnsi="Arial" w:cs="Arial"/>
          <w:b/>
          <w:sz w:val="24"/>
          <w:szCs w:val="24"/>
          <w:lang w:eastAsia="es-BO"/>
        </w:rPr>
      </w:pPr>
      <w:r w:rsidRPr="00CE0B87">
        <w:rPr>
          <w:rFonts w:ascii="Arial" w:eastAsia="Times New Roman" w:hAnsi="Arial" w:cs="Arial"/>
          <w:b/>
          <w:sz w:val="24"/>
          <w:szCs w:val="24"/>
          <w:lang w:eastAsia="es-BO"/>
        </w:rPr>
        <w:t xml:space="preserve">       Demandante:</w:t>
      </w:r>
      <w:r w:rsidR="00FB1D34" w:rsidRPr="00CE0B87">
        <w:rPr>
          <w:rFonts w:ascii="Arial" w:eastAsia="Times New Roman" w:hAnsi="Arial" w:cs="Arial"/>
          <w:sz w:val="24"/>
          <w:szCs w:val="24"/>
          <w:lang w:eastAsia="es-BO"/>
        </w:rPr>
        <w:tab/>
      </w:r>
      <w:r w:rsidR="00FB1D34" w:rsidRPr="00CE0B87">
        <w:rPr>
          <w:rFonts w:ascii="Arial" w:eastAsia="Times New Roman" w:hAnsi="Arial" w:cs="Arial"/>
          <w:color w:val="000000"/>
          <w:sz w:val="24"/>
          <w:szCs w:val="24"/>
          <w:lang w:eastAsia="es-BO"/>
        </w:rPr>
        <w:t>Ramiro José Guerrero Peñaranda, Viceministro de Tierras</w:t>
      </w:r>
      <w:r w:rsidRPr="00CE0B87">
        <w:rPr>
          <w:rFonts w:ascii="Arial" w:eastAsia="Times New Roman" w:hAnsi="Arial" w:cs="Arial"/>
          <w:b/>
          <w:sz w:val="24"/>
          <w:szCs w:val="24"/>
          <w:lang w:eastAsia="es-BO"/>
        </w:rPr>
        <w:t xml:space="preserve">          </w:t>
      </w:r>
    </w:p>
    <w:p w14:paraId="36CFE63D" w14:textId="21AB9040" w:rsidR="00EA34DC" w:rsidRPr="00CE0B87" w:rsidRDefault="00EA34DC" w:rsidP="00CE0B87">
      <w:pPr>
        <w:tabs>
          <w:tab w:val="left" w:pos="1134"/>
        </w:tabs>
        <w:spacing w:after="0" w:line="360" w:lineRule="auto"/>
        <w:ind w:left="3735" w:hanging="3735"/>
        <w:jc w:val="both"/>
        <w:rPr>
          <w:rFonts w:ascii="Arial" w:eastAsia="Times New Roman" w:hAnsi="Arial" w:cs="Arial"/>
          <w:sz w:val="24"/>
          <w:szCs w:val="24"/>
          <w:lang w:eastAsia="es-BO"/>
        </w:rPr>
      </w:pPr>
      <w:r w:rsidRPr="00CE0B87">
        <w:rPr>
          <w:rFonts w:ascii="Arial" w:eastAsia="Times New Roman" w:hAnsi="Arial" w:cs="Arial"/>
          <w:b/>
          <w:sz w:val="24"/>
          <w:szCs w:val="24"/>
          <w:lang w:eastAsia="es-BO"/>
        </w:rPr>
        <w:t xml:space="preserve">       Demandado:</w:t>
      </w:r>
      <w:r w:rsidRPr="00CE0B87">
        <w:rPr>
          <w:rFonts w:ascii="Arial" w:eastAsia="Times New Roman" w:hAnsi="Arial" w:cs="Arial"/>
          <w:sz w:val="24"/>
          <w:szCs w:val="24"/>
          <w:lang w:eastAsia="es-BO"/>
        </w:rPr>
        <w:tab/>
      </w:r>
      <w:r w:rsidR="00FB1D34" w:rsidRPr="00CE0B87">
        <w:rPr>
          <w:rFonts w:ascii="Arial" w:eastAsia="Times New Roman" w:hAnsi="Arial" w:cs="Arial"/>
          <w:sz w:val="24"/>
          <w:szCs w:val="24"/>
          <w:lang w:eastAsia="es-BO"/>
        </w:rPr>
        <w:t>Presidente del Estado Plurinacional de Bolivia y Ministerio de Desarrollo Rural y Tierras</w:t>
      </w:r>
      <w:r w:rsidRPr="00CE0B87">
        <w:rPr>
          <w:rFonts w:ascii="Arial" w:eastAsia="Times New Roman" w:hAnsi="Arial" w:cs="Arial"/>
          <w:sz w:val="24"/>
          <w:szCs w:val="24"/>
          <w:lang w:eastAsia="es-BO"/>
        </w:rPr>
        <w:t xml:space="preserve"> </w:t>
      </w:r>
    </w:p>
    <w:p w14:paraId="60C07A77" w14:textId="77777777" w:rsidR="00EA34DC" w:rsidRPr="00CE0B87" w:rsidRDefault="00EA34DC" w:rsidP="00CE0B87">
      <w:pPr>
        <w:tabs>
          <w:tab w:val="left" w:pos="1134"/>
        </w:tabs>
        <w:spacing w:after="0" w:line="360" w:lineRule="auto"/>
        <w:jc w:val="both"/>
        <w:rPr>
          <w:rFonts w:ascii="Arial" w:eastAsia="Times New Roman" w:hAnsi="Arial" w:cs="Arial"/>
          <w:sz w:val="24"/>
          <w:szCs w:val="24"/>
          <w:lang w:eastAsia="es-BO"/>
        </w:rPr>
      </w:pPr>
      <w:r w:rsidRPr="00CE0B87">
        <w:rPr>
          <w:rFonts w:ascii="Arial" w:eastAsia="Times New Roman" w:hAnsi="Arial" w:cs="Arial"/>
          <w:b/>
          <w:sz w:val="24"/>
          <w:szCs w:val="24"/>
          <w:lang w:eastAsia="es-BO"/>
        </w:rPr>
        <w:t xml:space="preserve">       Distrito:</w:t>
      </w:r>
      <w:r w:rsidRPr="00CE0B87">
        <w:rPr>
          <w:rFonts w:ascii="Arial" w:eastAsia="Times New Roman" w:hAnsi="Arial" w:cs="Arial"/>
          <w:sz w:val="24"/>
          <w:szCs w:val="24"/>
          <w:lang w:eastAsia="es-BO"/>
        </w:rPr>
        <w:tab/>
        <w:t xml:space="preserve">                                   Santa Cruz</w:t>
      </w:r>
    </w:p>
    <w:p w14:paraId="53270BEF" w14:textId="575C80A7" w:rsidR="00EA34DC" w:rsidRPr="00CE0B87" w:rsidRDefault="00EA34DC" w:rsidP="00CE0B87">
      <w:pPr>
        <w:tabs>
          <w:tab w:val="left" w:pos="1134"/>
        </w:tabs>
        <w:spacing w:after="0" w:line="360" w:lineRule="auto"/>
        <w:jc w:val="both"/>
        <w:rPr>
          <w:rFonts w:ascii="Arial" w:eastAsia="Times New Roman" w:hAnsi="Arial" w:cs="Arial"/>
          <w:sz w:val="24"/>
          <w:szCs w:val="24"/>
          <w:lang w:eastAsia="es-BO"/>
        </w:rPr>
      </w:pPr>
      <w:r w:rsidRPr="00CE0B87">
        <w:rPr>
          <w:rFonts w:ascii="Arial" w:eastAsia="Times New Roman" w:hAnsi="Arial" w:cs="Arial"/>
          <w:b/>
          <w:sz w:val="24"/>
          <w:szCs w:val="24"/>
          <w:lang w:eastAsia="es-BO"/>
        </w:rPr>
        <w:t xml:space="preserve">       Propiedad:                           </w:t>
      </w:r>
      <w:proofErr w:type="gramStart"/>
      <w:r w:rsidRPr="00CE0B87">
        <w:rPr>
          <w:rFonts w:ascii="Arial" w:eastAsia="Times New Roman" w:hAnsi="Arial" w:cs="Arial"/>
          <w:b/>
          <w:sz w:val="24"/>
          <w:szCs w:val="24"/>
          <w:lang w:eastAsia="es-BO"/>
        </w:rPr>
        <w:t xml:space="preserve">   </w:t>
      </w:r>
      <w:r w:rsidRPr="00CE0B87">
        <w:rPr>
          <w:rFonts w:ascii="Arial" w:eastAsia="Times New Roman" w:hAnsi="Arial" w:cs="Arial"/>
          <w:sz w:val="24"/>
          <w:szCs w:val="24"/>
          <w:lang w:eastAsia="es-BO"/>
        </w:rPr>
        <w:t>“</w:t>
      </w:r>
      <w:proofErr w:type="gramEnd"/>
      <w:r w:rsidR="00C21E6D" w:rsidRPr="00CE0B87">
        <w:rPr>
          <w:rFonts w:ascii="Arial" w:eastAsia="Times New Roman" w:hAnsi="Arial" w:cs="Arial"/>
          <w:sz w:val="24"/>
          <w:szCs w:val="24"/>
          <w:lang w:eastAsia="es-BO"/>
        </w:rPr>
        <w:t>Ayacucho</w:t>
      </w:r>
      <w:r w:rsidRPr="00CE0B87">
        <w:rPr>
          <w:rFonts w:ascii="Arial" w:eastAsia="Times New Roman" w:hAnsi="Arial" w:cs="Arial"/>
          <w:sz w:val="24"/>
          <w:szCs w:val="24"/>
          <w:lang w:eastAsia="es-BO"/>
        </w:rPr>
        <w:t>”</w:t>
      </w:r>
      <w:r w:rsidR="00C21E6D" w:rsidRPr="00CE0B87">
        <w:rPr>
          <w:rFonts w:ascii="Arial" w:eastAsia="Times New Roman" w:hAnsi="Arial" w:cs="Arial"/>
          <w:sz w:val="24"/>
          <w:szCs w:val="24"/>
          <w:lang w:eastAsia="es-BO"/>
        </w:rPr>
        <w:t>, “Ayacucho I” y “Tunuma”</w:t>
      </w:r>
    </w:p>
    <w:p w14:paraId="1C01AE76" w14:textId="55B0BA06" w:rsidR="00EA34DC" w:rsidRPr="00CE0B87" w:rsidRDefault="00EA34DC" w:rsidP="00CE0B87">
      <w:pPr>
        <w:tabs>
          <w:tab w:val="left" w:pos="1276"/>
          <w:tab w:val="left" w:pos="3544"/>
        </w:tabs>
        <w:spacing w:after="0" w:line="360" w:lineRule="auto"/>
        <w:jc w:val="both"/>
        <w:rPr>
          <w:rFonts w:ascii="Arial" w:eastAsia="Times New Roman" w:hAnsi="Arial" w:cs="Arial"/>
          <w:sz w:val="24"/>
          <w:szCs w:val="24"/>
          <w:lang w:eastAsia="es-BO"/>
        </w:rPr>
      </w:pPr>
      <w:r w:rsidRPr="00CE0B87">
        <w:rPr>
          <w:rFonts w:ascii="Arial" w:eastAsia="Times New Roman" w:hAnsi="Arial" w:cs="Arial"/>
          <w:b/>
          <w:sz w:val="24"/>
          <w:szCs w:val="24"/>
          <w:lang w:eastAsia="es-BO"/>
        </w:rPr>
        <w:t xml:space="preserve">       Fecha:</w:t>
      </w:r>
      <w:r w:rsidRPr="00CE0B87">
        <w:rPr>
          <w:rFonts w:ascii="Arial" w:eastAsia="Times New Roman" w:hAnsi="Arial" w:cs="Arial"/>
          <w:b/>
          <w:sz w:val="24"/>
          <w:szCs w:val="24"/>
          <w:lang w:eastAsia="es-BO"/>
        </w:rPr>
        <w:tab/>
      </w:r>
      <w:r w:rsidRPr="00CE0B87">
        <w:rPr>
          <w:rFonts w:ascii="Arial" w:eastAsia="Times New Roman" w:hAnsi="Arial" w:cs="Arial"/>
          <w:b/>
          <w:sz w:val="24"/>
          <w:szCs w:val="24"/>
          <w:lang w:eastAsia="es-BO"/>
        </w:rPr>
        <w:tab/>
        <w:t xml:space="preserve">   </w:t>
      </w:r>
      <w:r w:rsidRPr="00CE0B87">
        <w:rPr>
          <w:rFonts w:ascii="Arial" w:eastAsia="Times New Roman" w:hAnsi="Arial" w:cs="Arial"/>
          <w:sz w:val="24"/>
          <w:szCs w:val="24"/>
          <w:lang w:eastAsia="es-BO"/>
        </w:rPr>
        <w:t xml:space="preserve">Sucre, </w:t>
      </w:r>
      <w:r w:rsidR="0059796A">
        <w:rPr>
          <w:rFonts w:ascii="Arial" w:eastAsia="Times New Roman" w:hAnsi="Arial" w:cs="Arial"/>
          <w:sz w:val="24"/>
          <w:szCs w:val="24"/>
          <w:lang w:eastAsia="es-BO"/>
        </w:rPr>
        <w:t>25</w:t>
      </w:r>
      <w:r w:rsidRPr="00CE0B87">
        <w:rPr>
          <w:rFonts w:ascii="Arial" w:eastAsia="Times New Roman" w:hAnsi="Arial" w:cs="Arial"/>
          <w:sz w:val="24"/>
          <w:szCs w:val="24"/>
          <w:lang w:eastAsia="es-BO"/>
        </w:rPr>
        <w:t xml:space="preserve"> de </w:t>
      </w:r>
      <w:r w:rsidR="00C21E6D" w:rsidRPr="00CE0B87">
        <w:rPr>
          <w:rFonts w:ascii="Arial" w:eastAsia="Times New Roman" w:hAnsi="Arial" w:cs="Arial"/>
          <w:sz w:val="24"/>
          <w:szCs w:val="24"/>
          <w:lang w:eastAsia="es-BO"/>
        </w:rPr>
        <w:t>septiembre</w:t>
      </w:r>
      <w:r w:rsidRPr="00CE0B87">
        <w:rPr>
          <w:rFonts w:ascii="Arial" w:eastAsia="Times New Roman" w:hAnsi="Arial" w:cs="Arial"/>
          <w:sz w:val="24"/>
          <w:szCs w:val="24"/>
          <w:lang w:eastAsia="es-BO"/>
        </w:rPr>
        <w:t xml:space="preserve"> de 2024</w:t>
      </w:r>
    </w:p>
    <w:p w14:paraId="078EA828" w14:textId="77777777" w:rsidR="00EA34DC" w:rsidRPr="00CE0B87" w:rsidRDefault="00EA34DC" w:rsidP="00CE0B87">
      <w:pPr>
        <w:spacing w:after="0" w:line="360" w:lineRule="auto"/>
        <w:jc w:val="both"/>
        <w:rPr>
          <w:rFonts w:ascii="Arial" w:eastAsia="Times New Roman" w:hAnsi="Arial" w:cs="Arial"/>
          <w:sz w:val="24"/>
          <w:szCs w:val="24"/>
          <w:lang w:eastAsia="es-BO"/>
        </w:rPr>
      </w:pPr>
      <w:r w:rsidRPr="00CE0B87">
        <w:rPr>
          <w:rFonts w:ascii="Arial" w:eastAsia="Times New Roman" w:hAnsi="Arial" w:cs="Arial"/>
          <w:b/>
          <w:sz w:val="24"/>
          <w:szCs w:val="24"/>
          <w:lang w:eastAsia="es-BO"/>
        </w:rPr>
        <w:t xml:space="preserve">       Magistrada Relatora:</w:t>
      </w:r>
      <w:r w:rsidRPr="00CE0B87">
        <w:rPr>
          <w:rFonts w:ascii="Arial" w:eastAsia="Times New Roman" w:hAnsi="Arial" w:cs="Arial"/>
          <w:sz w:val="24"/>
          <w:szCs w:val="24"/>
          <w:lang w:eastAsia="es-BO"/>
        </w:rPr>
        <w:tab/>
        <w:t xml:space="preserve">   Soraya Alicia </w:t>
      </w:r>
      <w:r w:rsidR="000450DB" w:rsidRPr="00CE0B87">
        <w:rPr>
          <w:rFonts w:ascii="Arial" w:eastAsia="Times New Roman" w:hAnsi="Arial" w:cs="Arial"/>
          <w:sz w:val="24"/>
          <w:szCs w:val="24"/>
          <w:lang w:eastAsia="es-BO"/>
        </w:rPr>
        <w:t>Céspedes Moreira</w:t>
      </w:r>
    </w:p>
    <w:p w14:paraId="4B3EAAA0" w14:textId="2D5A3401" w:rsidR="009167E3" w:rsidRPr="00CE0B87" w:rsidRDefault="00CD25E9"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La demanda contencioso administrativa, cursante de fs. 47 a 64 de obrados, interpuesta por </w:t>
      </w:r>
      <w:r w:rsidR="005A515F" w:rsidRPr="00CE0B87">
        <w:rPr>
          <w:rFonts w:ascii="Arial" w:eastAsia="Times New Roman" w:hAnsi="Arial" w:cs="Arial"/>
          <w:color w:val="000000"/>
          <w:sz w:val="24"/>
          <w:szCs w:val="24"/>
          <w:lang w:val="es-ES" w:eastAsia="es-BO"/>
        </w:rPr>
        <w:t xml:space="preserve">el </w:t>
      </w:r>
      <w:r w:rsidRPr="00CE0B87">
        <w:rPr>
          <w:rFonts w:ascii="Arial" w:eastAsia="Times New Roman" w:hAnsi="Arial" w:cs="Arial"/>
          <w:color w:val="000000"/>
          <w:sz w:val="24"/>
          <w:szCs w:val="24"/>
          <w:lang w:eastAsia="es-BO"/>
        </w:rPr>
        <w:t>Viceministro de Tierras, </w:t>
      </w:r>
      <w:r w:rsidR="005A515F" w:rsidRPr="00CE0B87">
        <w:rPr>
          <w:rFonts w:ascii="Arial" w:eastAsia="Times New Roman" w:hAnsi="Arial" w:cs="Arial"/>
          <w:color w:val="000000"/>
          <w:sz w:val="24"/>
          <w:szCs w:val="24"/>
          <w:lang w:eastAsia="es-BO"/>
        </w:rPr>
        <w:t xml:space="preserve">en </w:t>
      </w:r>
      <w:r w:rsidRPr="00CE0B87">
        <w:rPr>
          <w:rFonts w:ascii="Arial" w:eastAsia="Times New Roman" w:hAnsi="Arial" w:cs="Arial"/>
          <w:color w:val="000000"/>
          <w:sz w:val="24"/>
          <w:szCs w:val="24"/>
          <w:lang w:val="es-ES" w:eastAsia="es-BO"/>
        </w:rPr>
        <w:t>contra el Presidente del Estado Plurinacional de Bolivia y el Ministro de Desarrollo Rural y Tierras, impugnando la Resolución Suprema 26918 de 21 de octubre de 2020, emitida dentro del proceso de Saneamiento Simple de Oficio (SAN-SIM), respecto del polígono N° 137, correspondiente a los predios denominados “Ayacucho”, “Ayacucho I” y “</w:t>
      </w:r>
      <w:proofErr w:type="spellStart"/>
      <w:r w:rsidRPr="00CE0B87">
        <w:rPr>
          <w:rFonts w:ascii="Arial" w:eastAsia="Times New Roman" w:hAnsi="Arial" w:cs="Arial"/>
          <w:color w:val="000000"/>
          <w:sz w:val="24"/>
          <w:szCs w:val="24"/>
          <w:lang w:val="es-ES" w:eastAsia="es-BO"/>
        </w:rPr>
        <w:t>Tunuma</w:t>
      </w:r>
      <w:proofErr w:type="spellEnd"/>
      <w:r w:rsidRPr="00CE0B87">
        <w:rPr>
          <w:rFonts w:ascii="Arial" w:eastAsia="Times New Roman" w:hAnsi="Arial" w:cs="Arial"/>
          <w:color w:val="000000"/>
          <w:sz w:val="24"/>
          <w:szCs w:val="24"/>
          <w:lang w:val="es-ES" w:eastAsia="es-BO"/>
        </w:rPr>
        <w:t>”, ubicados en el municipio San Rafael, provincia Velasco del departamento de Santa Cruz; resolución que en lo principal resolvió</w:t>
      </w:r>
      <w:r w:rsidR="00612491" w:rsidRPr="00CE0B87">
        <w:rPr>
          <w:rFonts w:ascii="Arial" w:eastAsia="Times New Roman" w:hAnsi="Arial" w:cs="Arial"/>
          <w:color w:val="000000"/>
          <w:sz w:val="24"/>
          <w:szCs w:val="24"/>
          <w:lang w:val="es-ES" w:eastAsia="es-BO"/>
        </w:rPr>
        <w:t xml:space="preserve"> </w:t>
      </w:r>
      <w:r w:rsidR="00612491" w:rsidRPr="00CE0B87">
        <w:rPr>
          <w:rFonts w:ascii="Arial" w:eastAsia="Times New Roman" w:hAnsi="Arial" w:cs="Arial"/>
          <w:b/>
          <w:color w:val="000000"/>
          <w:sz w:val="24"/>
          <w:szCs w:val="24"/>
          <w:lang w:val="es-ES" w:eastAsia="es-BO"/>
        </w:rPr>
        <w:t>anular</w:t>
      </w:r>
      <w:r w:rsidR="00612491" w:rsidRPr="00CE0B87">
        <w:rPr>
          <w:rFonts w:ascii="Arial" w:eastAsia="Times New Roman" w:hAnsi="Arial" w:cs="Arial"/>
          <w:color w:val="000000"/>
          <w:sz w:val="24"/>
          <w:szCs w:val="24"/>
          <w:lang w:val="es-ES" w:eastAsia="es-BO"/>
        </w:rPr>
        <w:t xml:space="preserve"> la sentencia de fecha 10 de septiembre de 1990 </w:t>
      </w:r>
      <w:r w:rsidR="00612491" w:rsidRPr="00CE0B87">
        <w:rPr>
          <w:rFonts w:ascii="Arial" w:eastAsia="Times New Roman" w:hAnsi="Arial" w:cs="Arial"/>
          <w:color w:val="000000" w:themeColor="text1"/>
          <w:sz w:val="24"/>
          <w:szCs w:val="24"/>
          <w:lang w:val="es-ES" w:eastAsia="es-BO"/>
        </w:rPr>
        <w:t xml:space="preserve">emitida dentro del expediente agrario de Dotación N° 58128 “Ayacucho”, </w:t>
      </w:r>
      <w:r w:rsidR="00612491" w:rsidRPr="00CE0B87">
        <w:rPr>
          <w:rFonts w:ascii="Arial" w:eastAsia="Times New Roman" w:hAnsi="Arial" w:cs="Arial"/>
          <w:b/>
          <w:color w:val="000000" w:themeColor="text1"/>
          <w:sz w:val="24"/>
          <w:szCs w:val="24"/>
          <w:lang w:val="es-ES" w:eastAsia="es-BO"/>
        </w:rPr>
        <w:t>anular</w:t>
      </w:r>
      <w:r w:rsidR="00612491" w:rsidRPr="00CE0B87">
        <w:rPr>
          <w:rFonts w:ascii="Arial" w:eastAsia="Times New Roman" w:hAnsi="Arial" w:cs="Arial"/>
          <w:color w:val="000000" w:themeColor="text1"/>
          <w:sz w:val="24"/>
          <w:szCs w:val="24"/>
          <w:lang w:val="es-ES" w:eastAsia="es-BO"/>
        </w:rPr>
        <w:t xml:space="preserve"> el Título Ejecutorial Proindiviso emitido dentro del expediente agrario de Dotación N° 12395 “Ayacucho”</w:t>
      </w:r>
      <w:r w:rsidR="009167E3" w:rsidRPr="00CE0B87">
        <w:rPr>
          <w:rFonts w:ascii="Arial" w:eastAsia="Times New Roman" w:hAnsi="Arial" w:cs="Arial"/>
          <w:color w:val="000000" w:themeColor="text1"/>
          <w:sz w:val="24"/>
          <w:szCs w:val="24"/>
          <w:lang w:val="es-ES" w:eastAsia="es-BO"/>
        </w:rPr>
        <w:t>,</w:t>
      </w:r>
      <w:r w:rsidR="00612491" w:rsidRPr="00CE0B87">
        <w:rPr>
          <w:rFonts w:ascii="Arial" w:eastAsia="Times New Roman" w:hAnsi="Arial" w:cs="Arial"/>
          <w:color w:val="000000" w:themeColor="text1"/>
          <w:sz w:val="24"/>
          <w:szCs w:val="24"/>
          <w:lang w:val="es-ES" w:eastAsia="es-BO"/>
        </w:rPr>
        <w:t xml:space="preserve"> anular el Titulo Ejecutorial Individual N° 380522 emitido dentro del expediente agrario de Dotación N° 12395 “Ayacucho”</w:t>
      </w:r>
      <w:r w:rsidR="009167E3" w:rsidRPr="00CE0B87">
        <w:rPr>
          <w:rFonts w:ascii="Arial" w:eastAsia="Times New Roman" w:hAnsi="Arial" w:cs="Arial"/>
          <w:color w:val="000000" w:themeColor="text1"/>
          <w:sz w:val="24"/>
          <w:szCs w:val="24"/>
          <w:lang w:val="es-ES" w:eastAsia="es-BO"/>
        </w:rPr>
        <w:t xml:space="preserve"> y</w:t>
      </w:r>
      <w:r w:rsidRPr="00CE0B87">
        <w:rPr>
          <w:rFonts w:ascii="Arial" w:eastAsia="Times New Roman" w:hAnsi="Arial" w:cs="Arial"/>
          <w:color w:val="000000"/>
          <w:sz w:val="24"/>
          <w:szCs w:val="24"/>
          <w:lang w:val="es-ES" w:eastAsia="es-BO"/>
        </w:rPr>
        <w:t xml:space="preserve"> </w:t>
      </w:r>
      <w:r w:rsidR="00976751" w:rsidRPr="00CE0B87">
        <w:rPr>
          <w:rFonts w:ascii="Arial" w:eastAsia="Times New Roman" w:hAnsi="Arial" w:cs="Arial"/>
          <w:color w:val="000000"/>
          <w:sz w:val="24"/>
          <w:szCs w:val="24"/>
          <w:lang w:val="es-ES" w:eastAsia="es-BO"/>
        </w:rPr>
        <w:t xml:space="preserve">vía conversión </w:t>
      </w:r>
      <w:r w:rsidRPr="00CE0B87">
        <w:rPr>
          <w:rFonts w:ascii="Arial" w:eastAsia="Times New Roman" w:hAnsi="Arial" w:cs="Arial"/>
          <w:color w:val="000000"/>
          <w:sz w:val="24"/>
          <w:szCs w:val="24"/>
          <w:lang w:val="es-ES" w:eastAsia="es-BO"/>
        </w:rPr>
        <w:t xml:space="preserve">y </w:t>
      </w:r>
      <w:r w:rsidR="00976751" w:rsidRPr="00CE0B87">
        <w:rPr>
          <w:rFonts w:ascii="Arial" w:eastAsia="Times New Roman" w:hAnsi="Arial" w:cs="Arial"/>
          <w:color w:val="000000"/>
          <w:sz w:val="24"/>
          <w:szCs w:val="24"/>
          <w:lang w:val="es-ES" w:eastAsia="es-BO"/>
        </w:rPr>
        <w:t xml:space="preserve">adjudicación </w:t>
      </w:r>
      <w:r w:rsidR="002920F2" w:rsidRPr="00CE0B87">
        <w:rPr>
          <w:rFonts w:ascii="Arial" w:eastAsia="Times New Roman" w:hAnsi="Arial" w:cs="Arial"/>
          <w:color w:val="000000"/>
          <w:sz w:val="24"/>
          <w:szCs w:val="24"/>
          <w:lang w:val="es-ES" w:eastAsia="es-BO"/>
        </w:rPr>
        <w:t xml:space="preserve">otorgar nuevos títulos ejecutoriales </w:t>
      </w:r>
      <w:r w:rsidRPr="00CE0B87">
        <w:rPr>
          <w:rFonts w:ascii="Arial" w:eastAsia="Times New Roman" w:hAnsi="Arial" w:cs="Arial"/>
          <w:color w:val="000000"/>
          <w:sz w:val="24"/>
          <w:szCs w:val="24"/>
          <w:lang w:val="es-ES" w:eastAsia="es-BO"/>
        </w:rPr>
        <w:t xml:space="preserve">a favor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y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el predio denominado “Ayacucho”, </w:t>
      </w:r>
      <w:r w:rsidR="002920F2" w:rsidRPr="00CE0B87">
        <w:rPr>
          <w:rFonts w:ascii="Arial" w:eastAsia="Times New Roman" w:hAnsi="Arial" w:cs="Arial"/>
          <w:color w:val="000000"/>
          <w:sz w:val="24"/>
          <w:szCs w:val="24"/>
          <w:lang w:val="es-ES" w:eastAsia="es-BO"/>
        </w:rPr>
        <w:t>con</w:t>
      </w:r>
      <w:r w:rsidRPr="00CE0B87">
        <w:rPr>
          <w:rFonts w:ascii="Arial" w:eastAsia="Times New Roman" w:hAnsi="Arial" w:cs="Arial"/>
          <w:color w:val="000000"/>
          <w:sz w:val="24"/>
          <w:szCs w:val="24"/>
          <w:lang w:val="es-ES" w:eastAsia="es-BO"/>
        </w:rPr>
        <w:t xml:space="preserve"> una superficie de 4049,5817 ha, identificada como propiedad empresarial, con actividad ganadera; a </w:t>
      </w:r>
      <w:r w:rsidR="008448F9" w:rsidRPr="00CE0B87">
        <w:rPr>
          <w:rFonts w:ascii="Arial" w:eastAsia="Times New Roman" w:hAnsi="Arial" w:cs="Arial"/>
          <w:color w:val="000000"/>
          <w:sz w:val="24"/>
          <w:szCs w:val="24"/>
          <w:lang w:val="es-ES" w:eastAsia="es-BO"/>
        </w:rPr>
        <w:t>Joaquín</w:t>
      </w:r>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el predio denominado “Ayacucho I”, en una superficie de 5050.7483 ha, identificada como propiedad empresarial, con actividad ganadera; y </w:t>
      </w:r>
      <w:r w:rsidR="002920F2" w:rsidRPr="00CE0B87">
        <w:rPr>
          <w:rFonts w:ascii="Arial" w:eastAsia="Times New Roman" w:hAnsi="Arial" w:cs="Arial"/>
          <w:color w:val="000000"/>
          <w:sz w:val="24"/>
          <w:szCs w:val="24"/>
          <w:lang w:val="es-ES" w:eastAsia="es-BO"/>
        </w:rPr>
        <w:t xml:space="preserve">Adjudicar </w:t>
      </w:r>
      <w:r w:rsidRPr="00CE0B87">
        <w:rPr>
          <w:rFonts w:ascii="Arial" w:eastAsia="Times New Roman" w:hAnsi="Arial" w:cs="Arial"/>
          <w:color w:val="000000"/>
          <w:sz w:val="24"/>
          <w:szCs w:val="24"/>
          <w:lang w:val="es-ES" w:eastAsia="es-BO"/>
        </w:rPr>
        <w:t>a Randolfo Saravia Flores, el predio denominado “</w:t>
      </w:r>
      <w:proofErr w:type="spellStart"/>
      <w:r w:rsidRPr="00CE0B87">
        <w:rPr>
          <w:rFonts w:ascii="Arial" w:eastAsia="Times New Roman" w:hAnsi="Arial" w:cs="Arial"/>
          <w:color w:val="000000"/>
          <w:sz w:val="24"/>
          <w:szCs w:val="24"/>
          <w:lang w:val="es-ES" w:eastAsia="es-BO"/>
        </w:rPr>
        <w:t>Tunuma</w:t>
      </w:r>
      <w:proofErr w:type="spellEnd"/>
      <w:r w:rsidRPr="00CE0B87">
        <w:rPr>
          <w:rFonts w:ascii="Arial" w:eastAsia="Times New Roman" w:hAnsi="Arial" w:cs="Arial"/>
          <w:color w:val="000000"/>
          <w:sz w:val="24"/>
          <w:szCs w:val="24"/>
          <w:lang w:val="es-ES" w:eastAsia="es-BO"/>
        </w:rPr>
        <w:t xml:space="preserve">”, en una superficie de 1846.5688 ha, identificada como propiedad </w:t>
      </w:r>
      <w:r w:rsidR="009167E3" w:rsidRPr="00CE0B87">
        <w:rPr>
          <w:rFonts w:ascii="Arial" w:eastAsia="Times New Roman" w:hAnsi="Arial" w:cs="Arial"/>
          <w:color w:val="000000"/>
          <w:sz w:val="24"/>
          <w:szCs w:val="24"/>
          <w:lang w:val="es-ES" w:eastAsia="es-BO"/>
        </w:rPr>
        <w:t xml:space="preserve">mediana, con actividad ganadera; </w:t>
      </w:r>
      <w:r w:rsidR="009167E3" w:rsidRPr="00CE0B87">
        <w:rPr>
          <w:rFonts w:ascii="Arial" w:eastAsia="Times New Roman" w:hAnsi="Arial" w:cs="Arial"/>
          <w:color w:val="000000" w:themeColor="text1"/>
          <w:sz w:val="24"/>
          <w:szCs w:val="24"/>
          <w:lang w:val="es-ES" w:eastAsia="es-BO"/>
        </w:rPr>
        <w:t xml:space="preserve">así también la Resolución Constitucional de 23 de noviembre de 2024 cursante de fs. 678 a 704 de obrados, dictada por los Vocales de la Sala Constitucional Cuarta del Tribunal Departamental de Justicia de Santa Cruz que </w:t>
      </w:r>
      <w:r w:rsidR="009167E3" w:rsidRPr="00CE0B87">
        <w:rPr>
          <w:rFonts w:ascii="Arial" w:eastAsia="Times New Roman" w:hAnsi="Arial" w:cs="Arial"/>
          <w:b/>
          <w:color w:val="000000" w:themeColor="text1"/>
          <w:sz w:val="24"/>
          <w:szCs w:val="24"/>
          <w:lang w:val="es-ES" w:eastAsia="es-BO"/>
        </w:rPr>
        <w:t>concede la tutela</w:t>
      </w:r>
      <w:r w:rsidR="009167E3" w:rsidRPr="00CE0B87">
        <w:rPr>
          <w:rFonts w:ascii="Arial" w:eastAsia="Times New Roman" w:hAnsi="Arial" w:cs="Arial"/>
          <w:color w:val="000000" w:themeColor="text1"/>
          <w:sz w:val="24"/>
          <w:szCs w:val="24"/>
          <w:lang w:val="es-ES" w:eastAsia="es-BO"/>
        </w:rPr>
        <w:t xml:space="preserve"> de Acción de Amparo Constitucional interpuesta por </w:t>
      </w:r>
      <w:proofErr w:type="spellStart"/>
      <w:r w:rsidR="009167E3" w:rsidRPr="00CE0B87">
        <w:rPr>
          <w:rFonts w:ascii="Arial" w:eastAsia="Times New Roman" w:hAnsi="Arial" w:cs="Arial"/>
          <w:color w:val="000000" w:themeColor="text1"/>
          <w:sz w:val="24"/>
          <w:szCs w:val="24"/>
          <w:lang w:val="es-ES" w:eastAsia="es-BO"/>
        </w:rPr>
        <w:t>Ayako</w:t>
      </w:r>
      <w:proofErr w:type="spellEnd"/>
      <w:r w:rsidR="009167E3" w:rsidRPr="00CE0B87">
        <w:rPr>
          <w:rFonts w:ascii="Arial" w:eastAsia="Times New Roman" w:hAnsi="Arial" w:cs="Arial"/>
          <w:color w:val="000000" w:themeColor="text1"/>
          <w:sz w:val="24"/>
          <w:szCs w:val="24"/>
          <w:lang w:val="es-ES" w:eastAsia="es-BO"/>
        </w:rPr>
        <w:t xml:space="preserve"> Cecilia </w:t>
      </w:r>
      <w:proofErr w:type="spellStart"/>
      <w:r w:rsidR="009167E3" w:rsidRPr="00CE0B87">
        <w:rPr>
          <w:rFonts w:ascii="Arial" w:eastAsia="Times New Roman" w:hAnsi="Arial" w:cs="Arial"/>
          <w:color w:val="000000" w:themeColor="text1"/>
          <w:sz w:val="24"/>
          <w:szCs w:val="24"/>
          <w:lang w:val="es-ES" w:eastAsia="es-BO"/>
        </w:rPr>
        <w:t>Kochi</w:t>
      </w:r>
      <w:proofErr w:type="spellEnd"/>
      <w:r w:rsidR="009167E3" w:rsidRPr="00CE0B87">
        <w:rPr>
          <w:rFonts w:ascii="Arial" w:eastAsia="Times New Roman" w:hAnsi="Arial" w:cs="Arial"/>
          <w:color w:val="000000" w:themeColor="text1"/>
          <w:sz w:val="24"/>
          <w:szCs w:val="24"/>
          <w:lang w:val="es-ES" w:eastAsia="es-BO"/>
        </w:rPr>
        <w:t xml:space="preserve"> de Maeshiro y Diana Maeshiro representadas por Alejandro P</w:t>
      </w:r>
      <w:r w:rsidR="00927A3B" w:rsidRPr="00CE0B87">
        <w:rPr>
          <w:rFonts w:ascii="Arial" w:eastAsia="Times New Roman" w:hAnsi="Arial" w:cs="Arial"/>
          <w:color w:val="000000" w:themeColor="text1"/>
          <w:sz w:val="24"/>
          <w:szCs w:val="24"/>
          <w:lang w:val="es-ES" w:eastAsia="es-BO"/>
        </w:rPr>
        <w:t xml:space="preserve">emintel Echenique, Fernando Bruno Escobar, Emiliano Hernández Murillo y Luz Marina Iriarte </w:t>
      </w:r>
      <w:proofErr w:type="spellStart"/>
      <w:r w:rsidR="00927A3B" w:rsidRPr="00CE0B87">
        <w:rPr>
          <w:rFonts w:ascii="Arial" w:eastAsia="Times New Roman" w:hAnsi="Arial" w:cs="Arial"/>
          <w:color w:val="000000" w:themeColor="text1"/>
          <w:sz w:val="24"/>
          <w:szCs w:val="24"/>
          <w:lang w:val="es-ES" w:eastAsia="es-BO"/>
        </w:rPr>
        <w:t>Abuawad</w:t>
      </w:r>
      <w:proofErr w:type="spellEnd"/>
      <w:r w:rsidR="009167E3" w:rsidRPr="00CE0B87">
        <w:rPr>
          <w:rFonts w:ascii="Arial" w:eastAsia="Times New Roman" w:hAnsi="Arial" w:cs="Arial"/>
          <w:color w:val="000000" w:themeColor="text1"/>
          <w:sz w:val="24"/>
          <w:szCs w:val="24"/>
          <w:lang w:val="es-ES" w:eastAsia="es-BO"/>
        </w:rPr>
        <w:t xml:space="preserve">., dejando sin efecto la </w:t>
      </w:r>
      <w:r w:rsidR="009167E3" w:rsidRPr="00CE0B87">
        <w:rPr>
          <w:rFonts w:ascii="Arial" w:eastAsia="Times New Roman" w:hAnsi="Arial" w:cs="Arial"/>
          <w:color w:val="000000" w:themeColor="text1"/>
          <w:sz w:val="24"/>
          <w:szCs w:val="24"/>
          <w:lang w:val="es-ES" w:eastAsia="es-BO"/>
        </w:rPr>
        <w:lastRenderedPageBreak/>
        <w:t>Sentencia Agroambiental Plurinacional S2</w:t>
      </w:r>
      <w:r w:rsidR="009167E3" w:rsidRPr="00CE0B87">
        <w:rPr>
          <w:rFonts w:ascii="Arial" w:eastAsia="Times New Roman" w:hAnsi="Arial" w:cs="Arial"/>
          <w:color w:val="000000" w:themeColor="text1"/>
          <w:sz w:val="24"/>
          <w:szCs w:val="24"/>
          <w:vertAlign w:val="superscript"/>
          <w:lang w:val="es-ES" w:eastAsia="es-BO"/>
        </w:rPr>
        <w:t>a</w:t>
      </w:r>
      <w:r w:rsidR="009167E3" w:rsidRPr="00CE0B87">
        <w:rPr>
          <w:rFonts w:ascii="Arial" w:eastAsia="Times New Roman" w:hAnsi="Arial" w:cs="Arial"/>
          <w:color w:val="000000" w:themeColor="text1"/>
          <w:sz w:val="24"/>
          <w:szCs w:val="24"/>
          <w:lang w:val="es-ES" w:eastAsia="es-BO"/>
        </w:rPr>
        <w:t xml:space="preserve"> N° 0</w:t>
      </w:r>
      <w:r w:rsidR="00927A3B" w:rsidRPr="00CE0B87">
        <w:rPr>
          <w:rFonts w:ascii="Arial" w:eastAsia="Times New Roman" w:hAnsi="Arial" w:cs="Arial"/>
          <w:color w:val="000000" w:themeColor="text1"/>
          <w:sz w:val="24"/>
          <w:szCs w:val="24"/>
          <w:lang w:val="es-ES" w:eastAsia="es-BO"/>
        </w:rPr>
        <w:t>28</w:t>
      </w:r>
      <w:r w:rsidR="009167E3" w:rsidRPr="00CE0B87">
        <w:rPr>
          <w:rFonts w:ascii="Arial" w:eastAsia="Times New Roman" w:hAnsi="Arial" w:cs="Arial"/>
          <w:color w:val="000000" w:themeColor="text1"/>
          <w:sz w:val="24"/>
          <w:szCs w:val="24"/>
          <w:lang w:val="es-ES" w:eastAsia="es-BO"/>
        </w:rPr>
        <w:t xml:space="preserve">/2023 de </w:t>
      </w:r>
      <w:r w:rsidR="00927A3B" w:rsidRPr="00CE0B87">
        <w:rPr>
          <w:rFonts w:ascii="Arial" w:eastAsia="Times New Roman" w:hAnsi="Arial" w:cs="Arial"/>
          <w:color w:val="000000" w:themeColor="text1"/>
          <w:sz w:val="24"/>
          <w:szCs w:val="24"/>
          <w:lang w:val="es-ES" w:eastAsia="es-BO"/>
        </w:rPr>
        <w:t>13</w:t>
      </w:r>
      <w:r w:rsidR="009167E3" w:rsidRPr="00CE0B87">
        <w:rPr>
          <w:rFonts w:ascii="Arial" w:eastAsia="Times New Roman" w:hAnsi="Arial" w:cs="Arial"/>
          <w:color w:val="000000" w:themeColor="text1"/>
          <w:sz w:val="24"/>
          <w:szCs w:val="24"/>
          <w:lang w:val="es-ES" w:eastAsia="es-BO"/>
        </w:rPr>
        <w:t xml:space="preserve"> de </w:t>
      </w:r>
      <w:r w:rsidR="00927A3B" w:rsidRPr="00CE0B87">
        <w:rPr>
          <w:rFonts w:ascii="Arial" w:eastAsia="Times New Roman" w:hAnsi="Arial" w:cs="Arial"/>
          <w:color w:val="000000" w:themeColor="text1"/>
          <w:sz w:val="24"/>
          <w:szCs w:val="24"/>
          <w:lang w:val="es-ES" w:eastAsia="es-BO"/>
        </w:rPr>
        <w:t>junio</w:t>
      </w:r>
      <w:r w:rsidR="009167E3" w:rsidRPr="00CE0B87">
        <w:rPr>
          <w:rFonts w:ascii="Arial" w:eastAsia="Times New Roman" w:hAnsi="Arial" w:cs="Arial"/>
          <w:color w:val="000000" w:themeColor="text1"/>
          <w:sz w:val="24"/>
          <w:szCs w:val="24"/>
          <w:lang w:val="es-ES" w:eastAsia="es-BO"/>
        </w:rPr>
        <w:t>, los antecedentes del proceso; y,</w:t>
      </w:r>
    </w:p>
    <w:p w14:paraId="50F468E6" w14:textId="77777777" w:rsidR="00EA34DC" w:rsidRPr="00CE0B87" w:rsidRDefault="00EA34DC" w:rsidP="00CE0B87">
      <w:pPr>
        <w:spacing w:after="0" w:line="360" w:lineRule="auto"/>
        <w:jc w:val="center"/>
        <w:rPr>
          <w:rFonts w:ascii="Arial" w:eastAsia="Times New Roman" w:hAnsi="Arial" w:cs="Arial"/>
          <w:b/>
          <w:bCs/>
          <w:sz w:val="24"/>
          <w:szCs w:val="24"/>
          <w:lang w:val="es-ES" w:eastAsia="es-BO"/>
        </w:rPr>
      </w:pPr>
      <w:r w:rsidRPr="00CE0B87">
        <w:rPr>
          <w:rFonts w:ascii="Arial" w:eastAsia="Times New Roman" w:hAnsi="Arial" w:cs="Arial"/>
          <w:b/>
          <w:bCs/>
          <w:sz w:val="24"/>
          <w:szCs w:val="24"/>
          <w:lang w:val="es-ES" w:eastAsia="es-BO"/>
        </w:rPr>
        <w:t>I. ANTECEDENTES PROCESALES</w:t>
      </w:r>
    </w:p>
    <w:p w14:paraId="7F90DDD6"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I.1. Argumentos de la demanda</w:t>
      </w:r>
    </w:p>
    <w:p w14:paraId="739B5180"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La parte actora, </w:t>
      </w:r>
      <w:r w:rsidRPr="00CE0B87">
        <w:rPr>
          <w:rFonts w:ascii="Arial" w:eastAsia="Times New Roman" w:hAnsi="Arial" w:cs="Arial"/>
          <w:b/>
          <w:bCs/>
          <w:i/>
          <w:iCs/>
          <w:color w:val="000000"/>
          <w:sz w:val="24"/>
          <w:szCs w:val="24"/>
          <w:lang w:eastAsia="es-BO"/>
        </w:rPr>
        <w:t>Viceministro de Tierras</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pide se declare </w:t>
      </w:r>
      <w:r w:rsidRPr="00CE0B87">
        <w:rPr>
          <w:rFonts w:ascii="Arial" w:eastAsia="Times New Roman" w:hAnsi="Arial" w:cs="Arial"/>
          <w:b/>
          <w:bCs/>
          <w:i/>
          <w:iCs/>
          <w:color w:val="000000"/>
          <w:sz w:val="24"/>
          <w:szCs w:val="24"/>
          <w:lang w:val="es-ES" w:eastAsia="es-BO"/>
        </w:rPr>
        <w:t>PROBADA</w:t>
      </w:r>
      <w:r w:rsidRPr="00CE0B87">
        <w:rPr>
          <w:rFonts w:ascii="Arial" w:eastAsia="Times New Roman" w:hAnsi="Arial" w:cs="Arial"/>
          <w:i/>
          <w:iCs/>
          <w:color w:val="000000"/>
          <w:sz w:val="24"/>
          <w:szCs w:val="24"/>
          <w:lang w:val="es-ES" w:eastAsia="es-BO"/>
        </w:rPr>
        <w:t> </w:t>
      </w:r>
      <w:r w:rsidRPr="00CE0B87">
        <w:rPr>
          <w:rFonts w:ascii="Arial" w:eastAsia="Times New Roman" w:hAnsi="Arial" w:cs="Arial"/>
          <w:color w:val="000000"/>
          <w:sz w:val="24"/>
          <w:szCs w:val="24"/>
          <w:lang w:val="es-ES" w:eastAsia="es-BO"/>
        </w:rPr>
        <w:t>la demanda, dejando sin efecto la Resolución Suprema 26918 de 21 de octubre de 2020, emitida dentro del proceso de Saneamiento Simple de Oficio (SAN-SIM), respecto del polígono N° 137, correspondiente a los predios denominados “Ayacucho”, “Ayacucho I” y “Tunuma”, ubicados en el municipio San Rafael, provincia Velasco del departamento de Santa Cruz, disponiendo se deje sin efecto la Resolución Final de Saneamiento, ahora impugnada, disponiendo la nulidad de obrados hasta el vicio más antiguo, es decir, hasta el Informe en Conclusiones y que el INRA reencauce el proceso de saneamiento conforme disponen las leyes antes citadas y continuar con dicho proceso conforme a normativa agraria, bajo los siguientes argumentos:</w:t>
      </w:r>
    </w:p>
    <w:p w14:paraId="289297F5"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I.1.1.</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Identificación de relaciones servidumbrales.</w:t>
      </w:r>
    </w:p>
    <w:p w14:paraId="1ADC609B" w14:textId="1D55E43A"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Refiere que el esclavismo, los trabajos forzosos y las relaciones servidumbrales, corresponden a fenómenos sociales similares de sometimiento, previstos en los arts. 15.V y 46 de la CPE, es así que en el presente caso, el trabajo desarrollado por el INRA – Departamental Santa Cruz, en el polígono N° 137, se evidencia una labor deplorable, soslayando la forma inexcusable, parámetros que demuestran inequívocamente la existencia de régimen servidumbral, contraviniendo lo dispuesto por el Convenio sobre el Trabajo Forzoso de 1930 y Convenio sobre la Abolición del Trabajo Forzoso de 1957, el art. 398 de la CPE, la disposición Final Cuarta de la Ley N° 1715 modificada por Ley N° 3545 y el art. 3 inc. m) del </w:t>
      </w:r>
      <w:r w:rsidR="00715925" w:rsidRPr="00CE0B87">
        <w:rPr>
          <w:rFonts w:ascii="Arial" w:eastAsia="Times New Roman" w:hAnsi="Arial" w:cs="Arial"/>
          <w:color w:val="000000"/>
          <w:sz w:val="24"/>
          <w:szCs w:val="24"/>
          <w:lang w:val="es-ES" w:eastAsia="es-BO"/>
        </w:rPr>
        <w:t>Decreto Supremo</w:t>
      </w:r>
      <w:r w:rsidRPr="00CE0B87">
        <w:rPr>
          <w:rFonts w:ascii="Arial" w:eastAsia="Times New Roman" w:hAnsi="Arial" w:cs="Arial"/>
          <w:color w:val="000000"/>
          <w:sz w:val="24"/>
          <w:szCs w:val="24"/>
          <w:lang w:val="es-ES" w:eastAsia="es-BO"/>
        </w:rPr>
        <w:t xml:space="preserve"> N° 29215.</w:t>
      </w:r>
    </w:p>
    <w:p w14:paraId="1372E28B" w14:textId="2C04AA39"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Según el Decreto Supremo N° 29215 de 02 de agosto de 2007 (Reglamento de la Ley N° 1715 modificada por la Ley N° 3545), la existencia de servidumbre y de trabajo forzoso en un predio implica el incumplimiento de la función económica social, aún en el caso de que exista áreas efectivamente aprovechadas en ese predio, en ese mismo lineamiento el </w:t>
      </w:r>
      <w:r w:rsidR="00715925" w:rsidRPr="00CE0B87">
        <w:rPr>
          <w:rFonts w:ascii="Arial" w:eastAsia="Times New Roman" w:hAnsi="Arial" w:cs="Arial"/>
          <w:color w:val="000000"/>
          <w:sz w:val="24"/>
          <w:szCs w:val="24"/>
          <w:lang w:val="es-ES" w:eastAsia="es-BO"/>
        </w:rPr>
        <w:t>Decreto Supremo</w:t>
      </w:r>
      <w:r w:rsidRPr="00CE0B87">
        <w:rPr>
          <w:rFonts w:ascii="Arial" w:eastAsia="Times New Roman" w:hAnsi="Arial" w:cs="Arial"/>
          <w:color w:val="000000"/>
          <w:sz w:val="24"/>
          <w:szCs w:val="24"/>
          <w:lang w:val="es-ES" w:eastAsia="es-BO"/>
        </w:rPr>
        <w:t xml:space="preserve"> N° 388 de 23 de diciembre de 2009, aprueba el “Reglamento para la Verificación, Comprobación y Determinación de la Existencia de Relaciones Servidumbrales, Trabajo Forzoso y Formas Análogas”, evidenciándose que conforme establece el art. 4 y 5, el incumplimiento de pago de salarios, los pagos inferiores al mínimo, parciales o en especie, descritos en el inc. b.2) del art. 5 del referido Decreto Supremo, son suficientes para acreditar la existencia de relaciones servidumbrales por sí solos, por tanto, no existe la necesidad de que concurran todos a la vez.</w:t>
      </w:r>
    </w:p>
    <w:p w14:paraId="3969A5DE"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lastRenderedPageBreak/>
        <w:t>Con relación al predio “Ayacucho”. -</w:t>
      </w:r>
    </w:p>
    <w:p w14:paraId="250D1868"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principio, cita documentos que se encuentran en la carpeta de saneamiento, con el objetivo de señalar lo siguiente:</w:t>
      </w:r>
    </w:p>
    <w:p w14:paraId="026E10B2"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a)</w:t>
      </w:r>
      <w:r w:rsidRPr="00CE0B87">
        <w:rPr>
          <w:rFonts w:ascii="Arial" w:eastAsia="Times New Roman" w:hAnsi="Arial" w:cs="Arial"/>
          <w:color w:val="000000"/>
          <w:sz w:val="24"/>
          <w:szCs w:val="24"/>
          <w:lang w:val="es-ES" w:eastAsia="es-BO"/>
        </w:rPr>
        <w:t> Refiere que, no existe coherencia entre los montos acordados en el contrato de pago, lo registrado en las planillas de pago y los montos registrados en las boletas de pago, más aún cuando carecen de validez otorgada por las entidades laborales de rigor, toda vez que, los mismos deben estar visados por el Ministerio de Trabajo.</w:t>
      </w:r>
    </w:p>
    <w:p w14:paraId="53833802"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b)</w:t>
      </w:r>
      <w:r w:rsidRPr="00CE0B87">
        <w:rPr>
          <w:rFonts w:ascii="Arial" w:eastAsia="Times New Roman" w:hAnsi="Arial" w:cs="Arial"/>
          <w:color w:val="000000"/>
          <w:sz w:val="24"/>
          <w:szCs w:val="24"/>
          <w:lang w:val="es-ES" w:eastAsia="es-BO"/>
        </w:rPr>
        <w:t> Sostiene que, el contrato de trabajo con cada uno de los trabajadores del predio "Ayacucho", define una relación laboral exclusiva, donde cada uno de los trabajadores cumplen una labor diaria de 8 horas de trabajo y seis días a la semana.</w:t>
      </w:r>
    </w:p>
    <w:p w14:paraId="6C08792C"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c)</w:t>
      </w:r>
      <w:r w:rsidRPr="00CE0B87">
        <w:rPr>
          <w:rFonts w:ascii="Arial" w:eastAsia="Times New Roman" w:hAnsi="Arial" w:cs="Arial"/>
          <w:color w:val="000000"/>
          <w:sz w:val="24"/>
          <w:szCs w:val="24"/>
          <w:lang w:val="es-ES" w:eastAsia="es-BO"/>
        </w:rPr>
        <w:t> Conforme la tabla comparativa de sueldos mínimos nacionales desde el año 1991 a 2019, emitidos por el INE, descritos en su memorial de demanda, se evidencia que el régimen laboral al personal del predio "Ayacucho", está basado en prácticas de servidumbre, toda vez que, la prueba aportada por los beneficiarios, de forma inequívoca, demuestra pagos mensuales por debajo del mínimo nacional dispuesto para las gestiones documentadas, a tal efecto, el INRA debió establecer el incumplimiento de la Función Económica Social y disponer por declarar tierra fiscal la totalidad de la superficie del predio denominado "Ayacucho".</w:t>
      </w:r>
    </w:p>
    <w:p w14:paraId="1C1D72AA"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Respecto al predio “Ayacucho I”. -</w:t>
      </w:r>
    </w:p>
    <w:p w14:paraId="30C4A9F8"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Manifiesta que, conforme lo dispuesto por el art. 330 del Código de Procedimiento Civil, aplicado por la permisividad definida por el art. 78 de la Ley N° 1715, se remite a la documentación presentada por Renán </w:t>
      </w:r>
      <w:proofErr w:type="spellStart"/>
      <w:r w:rsidRPr="00CE0B87">
        <w:rPr>
          <w:rFonts w:ascii="Arial" w:eastAsia="Times New Roman" w:hAnsi="Arial" w:cs="Arial"/>
          <w:color w:val="000000"/>
          <w:sz w:val="24"/>
          <w:szCs w:val="24"/>
          <w:lang w:val="es-ES" w:eastAsia="es-BO"/>
        </w:rPr>
        <w:t>Illescas</w:t>
      </w:r>
      <w:proofErr w:type="spellEnd"/>
      <w:r w:rsidRPr="00CE0B87">
        <w:rPr>
          <w:rFonts w:ascii="Arial" w:eastAsia="Times New Roman" w:hAnsi="Arial" w:cs="Arial"/>
          <w:color w:val="000000"/>
          <w:sz w:val="24"/>
          <w:szCs w:val="24"/>
          <w:lang w:val="es-ES" w:eastAsia="es-BO"/>
        </w:rPr>
        <w:t xml:space="preserve"> Gonzales, en representación de Joaquín Eguez París, mismas que se encuentran en la carpeta de saneamiento, extrayéndose lo siguiente:</w:t>
      </w:r>
    </w:p>
    <w:p w14:paraId="03B94A2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a)</w:t>
      </w:r>
      <w:r w:rsidRPr="00CE0B87">
        <w:rPr>
          <w:rFonts w:ascii="Arial" w:eastAsia="Times New Roman" w:hAnsi="Arial" w:cs="Arial"/>
          <w:color w:val="000000"/>
          <w:sz w:val="24"/>
          <w:szCs w:val="24"/>
          <w:lang w:val="es-ES" w:eastAsia="es-BO"/>
        </w:rPr>
        <w:t> Señala que, no existe coherencia entre los montos acordados en el contrato de pago y lo registrado en las planillas de pago, de otro lado, carecen de validez, ya que no fueron otorgados por las entidades que corresponde, por lo que son documentos viciados de nulidad por su evidente falsedad.</w:t>
      </w:r>
    </w:p>
    <w:p w14:paraId="765DFFA5"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b)</w:t>
      </w:r>
      <w:r w:rsidRPr="00CE0B87">
        <w:rPr>
          <w:rFonts w:ascii="Arial" w:eastAsia="Times New Roman" w:hAnsi="Arial" w:cs="Arial"/>
          <w:color w:val="000000"/>
          <w:sz w:val="24"/>
          <w:szCs w:val="24"/>
          <w:lang w:val="es-ES" w:eastAsia="es-BO"/>
        </w:rPr>
        <w:t> El contrato de trabajo con cada uno de los trabajadores del predio "Ayacucho I", define una relación laboral exclusiva, donde cada uno de los trabajadores cumplen una labor diaria de 8 horas de trabajo y seis días a la semana.</w:t>
      </w:r>
    </w:p>
    <w:p w14:paraId="0F256278" w14:textId="013BB376"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Asimismo, refiere que, a través del cuadro adjunto, demuestra la existencia de régimen de servidumbre en los trabajadores del predio "Ayacucho I”, siendo los pagos realizados por debajo del mínimo nacional, ya que la prueba aportada por los beneficiarios, de forma inequívoca, demuestran lo aseverado; en ese entendido, señala que el INRA debió establecer su existencia, aplicar los procedimientos aprobados mediante el D</w:t>
      </w:r>
      <w:r w:rsidR="008070A8" w:rsidRPr="00CE0B87">
        <w:rPr>
          <w:rFonts w:ascii="Arial" w:eastAsia="Times New Roman" w:hAnsi="Arial" w:cs="Arial"/>
          <w:color w:val="000000"/>
          <w:sz w:val="24"/>
          <w:szCs w:val="24"/>
          <w:lang w:val="es-ES" w:eastAsia="es-BO"/>
        </w:rPr>
        <w:t xml:space="preserve">ecreto </w:t>
      </w:r>
      <w:r w:rsidRPr="00CE0B87">
        <w:rPr>
          <w:rFonts w:ascii="Arial" w:eastAsia="Times New Roman" w:hAnsi="Arial" w:cs="Arial"/>
          <w:color w:val="000000"/>
          <w:sz w:val="24"/>
          <w:szCs w:val="24"/>
          <w:lang w:val="es-ES" w:eastAsia="es-BO"/>
        </w:rPr>
        <w:t>S</w:t>
      </w:r>
      <w:r w:rsidR="008070A8" w:rsidRPr="00CE0B87">
        <w:rPr>
          <w:rFonts w:ascii="Arial" w:eastAsia="Times New Roman" w:hAnsi="Arial" w:cs="Arial"/>
          <w:color w:val="000000"/>
          <w:sz w:val="24"/>
          <w:szCs w:val="24"/>
          <w:lang w:val="es-ES" w:eastAsia="es-BO"/>
        </w:rPr>
        <w:t>upremo</w:t>
      </w:r>
      <w:r w:rsidRPr="00CE0B87">
        <w:rPr>
          <w:rFonts w:ascii="Arial" w:eastAsia="Times New Roman" w:hAnsi="Arial" w:cs="Arial"/>
          <w:color w:val="000000"/>
          <w:sz w:val="24"/>
          <w:szCs w:val="24"/>
          <w:lang w:val="es-ES" w:eastAsia="es-BO"/>
        </w:rPr>
        <w:t xml:space="preserve"> N° 388 y plasmar el incumplimiento de la </w:t>
      </w:r>
      <w:r w:rsidRPr="00CE0B87">
        <w:rPr>
          <w:rFonts w:ascii="Arial" w:eastAsia="Times New Roman" w:hAnsi="Arial" w:cs="Arial"/>
          <w:color w:val="000000"/>
          <w:sz w:val="24"/>
          <w:szCs w:val="24"/>
          <w:lang w:val="es-ES" w:eastAsia="es-BO"/>
        </w:rPr>
        <w:lastRenderedPageBreak/>
        <w:t>Función Económica Social y disponer por declarar tierra fiscal la totalidad de la superficie del predio denominado "Ayacucho I".</w:t>
      </w:r>
    </w:p>
    <w:p w14:paraId="1D171DE8" w14:textId="4E850B26"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Siendo evidentes el régimen de servidumbre, indica que corresponde establecer la nulidad absoluta de la Resolución Suprema N°</w:t>
      </w:r>
      <w:r w:rsidR="00104E7E" w:rsidRPr="00CE0B87">
        <w:rPr>
          <w:rFonts w:ascii="Arial" w:eastAsia="Times New Roman" w:hAnsi="Arial" w:cs="Arial"/>
          <w:color w:val="000000"/>
          <w:sz w:val="24"/>
          <w:szCs w:val="24"/>
          <w:lang w:val="es-ES" w:eastAsia="es-BO"/>
        </w:rPr>
        <w:t xml:space="preserve"> 26918 de 21 de octubre de 2020</w:t>
      </w:r>
      <w:r w:rsidRPr="00CE0B87">
        <w:rPr>
          <w:rFonts w:ascii="Arial" w:eastAsia="Times New Roman" w:hAnsi="Arial" w:cs="Arial"/>
          <w:color w:val="000000"/>
          <w:sz w:val="24"/>
          <w:szCs w:val="24"/>
          <w:lang w:val="es-ES" w:eastAsia="es-BO"/>
        </w:rPr>
        <w:t>, considerando que no valoró estos hechos, no habiendo dado cumplimiento a los derechos y garantías constitucionales de los trabajadores al interior de los predios referidos, que fueron sometidos al proceso de saneamiento</w:t>
      </w:r>
    </w:p>
    <w:p w14:paraId="1AE30781"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tal circunstancia cuestiona que, al no haberse considerado esta realidad a momento de realizarse el Informe en Conclusiones de 30 de octubre de 2015, y el Informe Técnico Legal JRLL-SCN-INF-SAN N° 36/2020 de 14 de febrero de 2020, se ha viciado de nulidad el contenido de la Resolución Suprema 26918 de 21 de octubre de 2020, por lo cual debe disponerse su nulidad.</w:t>
      </w:r>
    </w:p>
    <w:p w14:paraId="12A39883"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I.1.2.</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Identificación de Fraccionamiento Fraudulento</w:t>
      </w:r>
    </w:p>
    <w:p w14:paraId="291E995B"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Haciendo una descripción de los actuados de la carpeta de saneamiento, refiere:</w:t>
      </w:r>
    </w:p>
    <w:p w14:paraId="15EE01A4" w14:textId="4AA04F1A"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PRIMERO. –</w:t>
      </w:r>
      <w:r w:rsidRPr="00CE0B87">
        <w:rPr>
          <w:rFonts w:ascii="Arial" w:eastAsia="Times New Roman" w:hAnsi="Arial" w:cs="Arial"/>
          <w:color w:val="000000"/>
          <w:sz w:val="24"/>
          <w:szCs w:val="24"/>
          <w:lang w:val="es-ES" w:eastAsia="es-BO"/>
        </w:rPr>
        <w:t> Conforme el art. 294, núm. III, inc. c) del D</w:t>
      </w:r>
      <w:r w:rsidR="0061241C" w:rsidRPr="00CE0B87">
        <w:rPr>
          <w:rFonts w:ascii="Arial" w:eastAsia="Times New Roman" w:hAnsi="Arial" w:cs="Arial"/>
          <w:color w:val="000000"/>
          <w:sz w:val="24"/>
          <w:szCs w:val="24"/>
          <w:lang w:val="es-ES" w:eastAsia="es-BO"/>
        </w:rPr>
        <w:t xml:space="preserve">ecreto </w:t>
      </w:r>
      <w:r w:rsidRPr="00CE0B87">
        <w:rPr>
          <w:rFonts w:ascii="Arial" w:eastAsia="Times New Roman" w:hAnsi="Arial" w:cs="Arial"/>
          <w:color w:val="000000"/>
          <w:sz w:val="24"/>
          <w:szCs w:val="24"/>
          <w:lang w:val="es-ES" w:eastAsia="es-BO"/>
        </w:rPr>
        <w:t>S</w:t>
      </w:r>
      <w:r w:rsidR="0061241C" w:rsidRPr="00CE0B87">
        <w:rPr>
          <w:rFonts w:ascii="Arial" w:eastAsia="Times New Roman" w:hAnsi="Arial" w:cs="Arial"/>
          <w:color w:val="000000"/>
          <w:sz w:val="24"/>
          <w:szCs w:val="24"/>
          <w:lang w:val="es-ES" w:eastAsia="es-BO"/>
        </w:rPr>
        <w:t>upremo</w:t>
      </w:r>
      <w:r w:rsidRPr="00CE0B87">
        <w:rPr>
          <w:rFonts w:ascii="Arial" w:eastAsia="Times New Roman" w:hAnsi="Arial" w:cs="Arial"/>
          <w:color w:val="000000"/>
          <w:sz w:val="24"/>
          <w:szCs w:val="24"/>
          <w:lang w:val="es-ES" w:eastAsia="es-BO"/>
        </w:rPr>
        <w:t xml:space="preserve"> N° 29215, la etapa de campo se constituye en el espacio donde el beneficiario debe presentar toda la documentación que acredite su derecho propietario y consolide la tradición documental que sustente su derecho propietario o posesorio, misma que debe ser</w:t>
      </w:r>
    </w:p>
    <w:p w14:paraId="66C1B24A"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analizada al momento de realización del Informe en Conclusiones, en tal circunstancia, la Resolución Final de Saneamiento, debe estar sustentada en el análisis técnico jurídico de los datos extraídos en campo y de la revisión documental de la prueba presentada por los beneficiarios.</w:t>
      </w:r>
    </w:p>
    <w:p w14:paraId="2FE1A630"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el presente caso, la única documentación presentada por los beneficiarios de los predios "AYACUCHO" y "AYACUCHO I”, son los descritos en las Actas de apersonamiento y recepción de documentos cursante de fs. 746 y 854, de donde se colige que la única transferencia puesta en conocimiento del INRA, es la de 25 de octubre de 2010.</w:t>
      </w:r>
    </w:p>
    <w:p w14:paraId="7EB14917"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Asimismo señala que, del análisis desarrollado por el INRA al momento de emitir el Informe Técnico Legal JRLL-SCN-INF-SAN N° 36/2020 de 14 de febrero de 2020, resulta ilegal y </w:t>
      </w:r>
      <w:proofErr w:type="spellStart"/>
      <w:r w:rsidRPr="00CE0B87">
        <w:rPr>
          <w:rFonts w:ascii="Arial" w:eastAsia="Times New Roman" w:hAnsi="Arial" w:cs="Arial"/>
          <w:color w:val="000000"/>
          <w:sz w:val="24"/>
          <w:szCs w:val="24"/>
          <w:lang w:val="es-ES" w:eastAsia="es-BO"/>
        </w:rPr>
        <w:t>ultrapetita</w:t>
      </w:r>
      <w:proofErr w:type="spellEnd"/>
      <w:r w:rsidRPr="00CE0B87">
        <w:rPr>
          <w:rFonts w:ascii="Arial" w:eastAsia="Times New Roman" w:hAnsi="Arial" w:cs="Arial"/>
          <w:color w:val="000000"/>
          <w:sz w:val="24"/>
          <w:szCs w:val="24"/>
          <w:lang w:val="es-ES" w:eastAsia="es-BO"/>
        </w:rPr>
        <w:t>, por dos aspectos: </w:t>
      </w:r>
      <w:r w:rsidRPr="00CE0B87">
        <w:rPr>
          <w:rFonts w:ascii="Arial" w:eastAsia="Times New Roman" w:hAnsi="Arial" w:cs="Arial"/>
          <w:b/>
          <w:bCs/>
          <w:color w:val="000000"/>
          <w:sz w:val="24"/>
          <w:szCs w:val="24"/>
          <w:lang w:val="es-ES" w:eastAsia="es-BO"/>
        </w:rPr>
        <w:t>a).- </w:t>
      </w:r>
      <w:r w:rsidRPr="00CE0B87">
        <w:rPr>
          <w:rFonts w:ascii="Arial" w:eastAsia="Times New Roman" w:hAnsi="Arial" w:cs="Arial"/>
          <w:color w:val="000000"/>
          <w:sz w:val="24"/>
          <w:szCs w:val="24"/>
          <w:lang w:val="es-ES" w:eastAsia="es-BO"/>
        </w:rPr>
        <w:t xml:space="preserve">Utiliza, para fundar sus recomendaciones, documental correspondiente a una medida preparatoria de reconocimiento de firmas, seguida por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contra </w:t>
      </w:r>
      <w:proofErr w:type="spellStart"/>
      <w:r w:rsidRPr="00CE0B87">
        <w:rPr>
          <w:rFonts w:ascii="Arial" w:eastAsia="Times New Roman" w:hAnsi="Arial" w:cs="Arial"/>
          <w:color w:val="000000"/>
          <w:sz w:val="24"/>
          <w:szCs w:val="24"/>
          <w:lang w:val="es-ES" w:eastAsia="es-BO"/>
        </w:rPr>
        <w:t>Joaquin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mismas ausentes en el cuerpo documental propia de las pericias de campo de julio de 2015, si bien estas fueron presentadas al momento de la realización de las primeras pericias de campo, estas fueron anuladas; consiguientemente, la documentación tiene carácter de nulos y para ser valederas, debieron ser nuevamente presentadas al momento de las nuevas pericias o con </w:t>
      </w:r>
      <w:r w:rsidRPr="00CE0B87">
        <w:rPr>
          <w:rFonts w:ascii="Arial" w:eastAsia="Times New Roman" w:hAnsi="Arial" w:cs="Arial"/>
          <w:color w:val="000000"/>
          <w:sz w:val="24"/>
          <w:szCs w:val="24"/>
          <w:lang w:val="es-ES" w:eastAsia="es-BO"/>
        </w:rPr>
        <w:lastRenderedPageBreak/>
        <w:t>posterioridad a ellas, pretender hacer uso de documentales de una etapa anulada, conlleva a la nulidad los actos posteriores. En tal circunstancia, el citado Informe Técnico Legal JRLL-SCN-INF-SAN N° 36/2020 de 14 de febrero de 2020, es nulo y genera efectos de su nulidad en la Resolución Suprema 26918 de 21 de octubre de 2020; </w:t>
      </w:r>
      <w:r w:rsidRPr="00CE0B87">
        <w:rPr>
          <w:rFonts w:ascii="Arial" w:eastAsia="Times New Roman" w:hAnsi="Arial" w:cs="Arial"/>
          <w:b/>
          <w:bCs/>
          <w:color w:val="000000"/>
          <w:sz w:val="24"/>
          <w:szCs w:val="24"/>
          <w:lang w:val="es-ES" w:eastAsia="es-BO"/>
        </w:rPr>
        <w:t>b).- </w:t>
      </w:r>
      <w:r w:rsidRPr="00CE0B87">
        <w:rPr>
          <w:rFonts w:ascii="Arial" w:eastAsia="Times New Roman" w:hAnsi="Arial" w:cs="Arial"/>
          <w:color w:val="000000"/>
          <w:sz w:val="24"/>
          <w:szCs w:val="24"/>
          <w:lang w:val="es-ES" w:eastAsia="es-BO"/>
        </w:rPr>
        <w:t>Con relación al Informe Técnico Legal JRLL-SCN-INF-SAN N° 36/2020 de 14 de febrero de 2020, se evidencia que del documento de 25 de octubre de 2010, en la Cláusula Segunda (Antecedentes), no menciona el documento privado de compra y venta de 1994, siendo falsa la aseveración de que demuestra tradición civil del derecho propietario del titular inicial, en ese entendido, se evidencia que el señalado informe sería ilegalmente fundamentado y en consecuencia, la Resolución Suprema 26918 de 21 de octubre, es ilegalmente motivada.</w:t>
      </w:r>
    </w:p>
    <w:p w14:paraId="724DE665"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SEGUNDO. –</w:t>
      </w:r>
      <w:r w:rsidRPr="00CE0B87">
        <w:rPr>
          <w:rFonts w:ascii="Arial" w:eastAsia="Times New Roman" w:hAnsi="Arial" w:cs="Arial"/>
          <w:color w:val="000000"/>
          <w:sz w:val="24"/>
          <w:szCs w:val="24"/>
          <w:lang w:val="es-ES" w:eastAsia="es-BO"/>
        </w:rPr>
        <w:t> Manifiesta que, al momento de analizar el documento de 25 de octubre de 2010, no se realizó una compulsa adecuada de los antecedentes del mismo, es decir: La CLAUSULA SEGUNDA (Antecedentes), de forma textual indica: </w:t>
      </w:r>
      <w:r w:rsidRPr="00CE0B87">
        <w:rPr>
          <w:rFonts w:ascii="Arial" w:eastAsia="Times New Roman" w:hAnsi="Arial" w:cs="Arial"/>
          <w:i/>
          <w:iCs/>
          <w:color w:val="000000"/>
          <w:sz w:val="24"/>
          <w:szCs w:val="24"/>
          <w:lang w:val="es-ES" w:eastAsia="es-BO"/>
        </w:rPr>
        <w:t>"…mi persona JOAQUIN EGUEZ PARÍS, es propietario de un fundo rústico denominado "AYACUCHO”, ubicado en el cantón San Rafael, provincia Velasco, departamento de Santa Cruz, con una extensión superficial de 2.132,0000 hectáreas, las mismas que obtuve de compra definitiva del señor FABIAN EGUEZ FRANCO, quien a su vez la adquirió en compra del señor RUBEN PEDRAZA VILLARROEL, según instrumento Publico N° 91 de fecha 15 de diciembre de 1976, registrada a fs. 22 N° 22 del registro de la Prov. Velasco, año 1987, a su vez el señor RUBEN PEDRAZA VILLARROEL, obtuvo el fundo mediante dotación agraria, según sentencia de 31 de diciembre de 1964, Auto de Vista de 20 de abril de 1965, Resolución Suprema N° 140787 de 02 de agosto de 1967, Acta de posesión de 29 de enero de 1970, inscrito en Derechos Reales a Fis. 110, N° 73 de la Prov. Velasco, ano 1971..." </w:t>
      </w:r>
      <w:r w:rsidRPr="00CE0B87">
        <w:rPr>
          <w:rFonts w:ascii="Arial" w:eastAsia="Times New Roman" w:hAnsi="Arial" w:cs="Arial"/>
          <w:color w:val="000000"/>
          <w:sz w:val="24"/>
          <w:szCs w:val="24"/>
          <w:lang w:val="es-ES" w:eastAsia="es-BO"/>
        </w:rPr>
        <w:t>(fs. 759).</w:t>
      </w:r>
    </w:p>
    <w:p w14:paraId="318CB863"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Indica que, a través de Informe de Emisión de Título Ejecutorial de 14 de agosto de 2015 (fs.1023 foliación inferior), se evidenciaría que se advirtió a los funcionarios del INRA Santa Cruz que el expediente N° 12395, mediante Resolución Suprema N° 140787, no solo emitió el Titulo Ejecutorial N° 380522, sino que, junto a él, se emitió el Título Ejecutorial Colectivo N° 380523 a favor de otras 12 personas más, en el área de la propiedad "Ayacucho".</w:t>
      </w:r>
    </w:p>
    <w:p w14:paraId="7E8A8601"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En ese mismo lineamiento, el Informe Técnico Complementario al Diagnóstico DDSC-CO-I-INE. N° 2134/2015 de 29 de junio de 2015, cursante de fs.1026 a 1029 (foliación inferior), establece con certidumbre la existencia de otros beneficiarios, de ahí que resulta </w:t>
      </w:r>
      <w:proofErr w:type="spellStart"/>
      <w:r w:rsidRPr="00CE0B87">
        <w:rPr>
          <w:rFonts w:ascii="Arial" w:eastAsia="Times New Roman" w:hAnsi="Arial" w:cs="Arial"/>
          <w:color w:val="000000"/>
          <w:sz w:val="24"/>
          <w:szCs w:val="24"/>
          <w:lang w:val="es-ES" w:eastAsia="es-BO"/>
        </w:rPr>
        <w:t>confesoria</w:t>
      </w:r>
      <w:proofErr w:type="spellEnd"/>
      <w:r w:rsidRPr="00CE0B87">
        <w:rPr>
          <w:rFonts w:ascii="Arial" w:eastAsia="Times New Roman" w:hAnsi="Arial" w:cs="Arial"/>
          <w:color w:val="000000"/>
          <w:sz w:val="24"/>
          <w:szCs w:val="24"/>
          <w:lang w:val="es-ES" w:eastAsia="es-BO"/>
        </w:rPr>
        <w:t xml:space="preserve"> la venta </w:t>
      </w:r>
      <w:proofErr w:type="spellStart"/>
      <w:r w:rsidRPr="00CE0B87">
        <w:rPr>
          <w:rFonts w:ascii="Arial" w:eastAsia="Times New Roman" w:hAnsi="Arial" w:cs="Arial"/>
          <w:color w:val="000000"/>
          <w:sz w:val="24"/>
          <w:szCs w:val="24"/>
          <w:lang w:val="es-ES" w:eastAsia="es-BO"/>
        </w:rPr>
        <w:t>estelionaria</w:t>
      </w:r>
      <w:proofErr w:type="spellEnd"/>
      <w:r w:rsidRPr="00CE0B87">
        <w:rPr>
          <w:rFonts w:ascii="Arial" w:eastAsia="Times New Roman" w:hAnsi="Arial" w:cs="Arial"/>
          <w:color w:val="000000"/>
          <w:sz w:val="24"/>
          <w:szCs w:val="24"/>
          <w:lang w:val="es-ES" w:eastAsia="es-BO"/>
        </w:rPr>
        <w:t xml:space="preserve"> realizada por </w:t>
      </w:r>
      <w:proofErr w:type="spellStart"/>
      <w:r w:rsidRPr="00CE0B87">
        <w:rPr>
          <w:rFonts w:ascii="Arial" w:eastAsia="Times New Roman" w:hAnsi="Arial" w:cs="Arial"/>
          <w:color w:val="000000"/>
          <w:sz w:val="24"/>
          <w:szCs w:val="24"/>
          <w:lang w:val="es-ES" w:eastAsia="es-BO"/>
        </w:rPr>
        <w:t>Joaquin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respecto del área titulada a favor de otras 12 personas, de ahí la ilegalidad de los </w:t>
      </w:r>
      <w:r w:rsidRPr="00CE0B87">
        <w:rPr>
          <w:rFonts w:ascii="Arial" w:eastAsia="Times New Roman" w:hAnsi="Arial" w:cs="Arial"/>
          <w:color w:val="000000"/>
          <w:sz w:val="24"/>
          <w:szCs w:val="24"/>
          <w:lang w:val="es-ES" w:eastAsia="es-BO"/>
        </w:rPr>
        <w:lastRenderedPageBreak/>
        <w:t>fundamentos y motivaciones del Informe Técnico Legal JRLL-SCN-INF-SAN N° 36/2020 de 14 de febrero de 2020, toda vez que, no debió considerar la venta presentada, por constituirse en la venta de propiedades ajenas a la titularidad de Joaquín Eguez París; por consiguiente, la Resolución Suprema 26918 de 21 de octubre de 2020, que tiene como fundamento el citado informe, resulta ser nula.</w:t>
      </w:r>
    </w:p>
    <w:p w14:paraId="2343BE9D"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TERCERO. - </w:t>
      </w:r>
      <w:r w:rsidRPr="00CE0B87">
        <w:rPr>
          <w:rFonts w:ascii="Arial" w:eastAsia="Times New Roman" w:hAnsi="Arial" w:cs="Arial"/>
          <w:color w:val="000000"/>
          <w:sz w:val="24"/>
          <w:szCs w:val="24"/>
          <w:lang w:val="es-ES" w:eastAsia="es-BO"/>
        </w:rPr>
        <w:t xml:space="preserve">La oportunidad en la que se reclamó la venta de la supuesta propiedad "AYACUCHO”, generándose el predio "AYACUCHO I”, es derivada de la emisión del Informe Técnico DGS - JRLL - SC - NORTE N° 531/2012 de 22 de junio de 2012, en el cual, se recomienda la consolidación de tan solo 5.000,0000 ha a favor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Noriko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Kuniyoshi</w:t>
      </w:r>
      <w:proofErr w:type="spellEnd"/>
      <w:r w:rsidRPr="00CE0B87">
        <w:rPr>
          <w:rFonts w:ascii="Arial" w:eastAsia="Times New Roman" w:hAnsi="Arial" w:cs="Arial"/>
          <w:color w:val="000000"/>
          <w:sz w:val="24"/>
          <w:szCs w:val="24"/>
          <w:lang w:val="es-ES" w:eastAsia="es-BO"/>
        </w:rPr>
        <w:t xml:space="preserve">,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y </w:t>
      </w:r>
      <w:proofErr w:type="spellStart"/>
      <w:r w:rsidRPr="00CE0B87">
        <w:rPr>
          <w:rFonts w:ascii="Arial" w:eastAsia="Times New Roman" w:hAnsi="Arial" w:cs="Arial"/>
          <w:color w:val="000000"/>
          <w:sz w:val="24"/>
          <w:szCs w:val="24"/>
          <w:lang w:val="es-ES" w:eastAsia="es-BO"/>
        </w:rPr>
        <w:t>Joaquin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(Fs. 496 a 497, foliación inferior), definido de forma similar en el Informe en Conclusiones de 30 de octubre de 2015.</w:t>
      </w:r>
    </w:p>
    <w:p w14:paraId="78F45663"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ello, es que la aparición del predio "Ayacucho I", fue posterior a las Pericias de Campo anuladas, con la única finalidad de crear una aparente nueva unidad productivas con la intención de lograr una indebida titulación de un área que debió constituirse en tierras fiscales.</w:t>
      </w:r>
    </w:p>
    <w:p w14:paraId="50A30D7F" w14:textId="0AF33485"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ese entendido, acusa citando de forma textual los arts. 268 y 269 del D</w:t>
      </w:r>
      <w:r w:rsidR="00824900" w:rsidRPr="00CE0B87">
        <w:rPr>
          <w:rFonts w:ascii="Arial" w:eastAsia="Times New Roman" w:hAnsi="Arial" w:cs="Arial"/>
          <w:color w:val="000000"/>
          <w:sz w:val="24"/>
          <w:szCs w:val="24"/>
          <w:lang w:val="es-ES" w:eastAsia="es-BO"/>
        </w:rPr>
        <w:t xml:space="preserve">ecreto </w:t>
      </w:r>
      <w:r w:rsidRPr="00CE0B87">
        <w:rPr>
          <w:rFonts w:ascii="Arial" w:eastAsia="Times New Roman" w:hAnsi="Arial" w:cs="Arial"/>
          <w:color w:val="000000"/>
          <w:sz w:val="24"/>
          <w:szCs w:val="24"/>
          <w:lang w:val="es-ES" w:eastAsia="es-BO"/>
        </w:rPr>
        <w:t>S</w:t>
      </w:r>
      <w:r w:rsidR="00824900" w:rsidRPr="00CE0B87">
        <w:rPr>
          <w:rFonts w:ascii="Arial" w:eastAsia="Times New Roman" w:hAnsi="Arial" w:cs="Arial"/>
          <w:color w:val="000000"/>
          <w:sz w:val="24"/>
          <w:szCs w:val="24"/>
          <w:lang w:val="es-ES" w:eastAsia="es-BO"/>
        </w:rPr>
        <w:t>upremo</w:t>
      </w:r>
      <w:r w:rsidRPr="00CE0B87">
        <w:rPr>
          <w:rFonts w:ascii="Arial" w:eastAsia="Times New Roman" w:hAnsi="Arial" w:cs="Arial"/>
          <w:color w:val="000000"/>
          <w:sz w:val="24"/>
          <w:szCs w:val="24"/>
          <w:lang w:val="es-ES" w:eastAsia="es-BO"/>
        </w:rPr>
        <w:t xml:space="preserve"> N° 29215, con el objeto de demostrar el fraccionamiento que solo buscaría acogerse al régimen de las pequeñas propiedades y consiguientemente, obtener en beneficio indebido de titularse sin el cumplimiento de la función económico social, el Informe Técnico Legal JRLL-SCN-INE-SAN N° 36/2020 de 14 de febrero de 2020, se constituye un instrumento idóneo para lograr este indebido fin, cuando sugiere la adjudicación a favor de Joaquín Eguez París, con documentación falsaria de una superficie que debió ser declarada tierra fiscal.</w:t>
      </w:r>
    </w:p>
    <w:p w14:paraId="1A49B2F5"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I.1.3.</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Mala Valoración de los Antecedentes Agrarios en el Relevamiento en Gabinete.</w:t>
      </w:r>
    </w:p>
    <w:p w14:paraId="1863111C"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Respecto al predio “Ayacucho”</w:t>
      </w:r>
    </w:p>
    <w:p w14:paraId="2B942A2D"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Manifiesta que, de acuerdo al Informe de emisión de Título Ejecutorial de 14 de agosto de 2015 (fs. 1023 foliación inferior), se dota a Rubén Pedraza Villarroel, con Título N° 380522, una superficie de 2.132.0000 ha, sin embargo, de la sobreposición realizada de dicho expediente agrario con el predio objeto de saneamiento, conforme el croquis demostrativo a fojas 1026 a 1029 (foliación inferior), se puede identificar que la sobreposición es parcial y de acuerdo al Informe Técnico INF/VT/GGT/UST/0131-2021 de 21 de octubre de 2021, emitido por el Viceministerio de Tierras, la sobreposición sería del 62%, en una superficie de 806,7350 ha.</w:t>
      </w:r>
    </w:p>
    <w:p w14:paraId="6E22D35E"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Indica que, con relación al expediente agrario N° 58128, se observa que este se sobrepone totalmente al área mensurada del predio, sin embargo, al estar viciado de nulidad absoluta como emergencia de haberse tramitado en sobreposición a áreas tituladas tramitadas por el CNRA, violentando, en consecuencia, lo dispuesto por el art. 22 de la de la anterior CPE (vigente  en su momento) y los arts. 56 y 392 de la actual CPE, por lo que no corresponde su consideración, aspectos que fueron ratificados por el Informe en Conclusiones de 30 de octubre de 2015, en el Informe Técnico Complementario al Diagnostico DDSC-CO-I-INF. N° 2134/2015, de 29 de junio de 2015.</w:t>
      </w:r>
    </w:p>
    <w:p w14:paraId="4913A0E1"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De otro lado en el Informe en Conclusiones de 30 de octubre de 2015 e Informe Técnico Legal JRLL-SCN-INF-SAN N° 36/2020 de 14 de febrero de 2020, que sirvió de base para la emisión de la Resolución Final de Saneamiento, ahora impugnada, no realiza valoración alguna de la sobreposición del área de saneamiento al área titulada mediante Título Ejecutorial N° 380523, menos hace consideración alguna de que el predio correspondía a un predio dotado en copropiedad a 12 campesinos reservando un área para uso común educativo, consecuentemente, debió restarse el área titulada a favor de estos terceros, del área entendida como </w:t>
      </w:r>
      <w:proofErr w:type="spellStart"/>
      <w:r w:rsidRPr="00CE0B87">
        <w:rPr>
          <w:rFonts w:ascii="Arial" w:eastAsia="Times New Roman" w:hAnsi="Arial" w:cs="Arial"/>
          <w:color w:val="000000"/>
          <w:sz w:val="24"/>
          <w:szCs w:val="24"/>
          <w:lang w:val="es-ES" w:eastAsia="es-BO"/>
        </w:rPr>
        <w:t>subadquiriencia</w:t>
      </w:r>
      <w:proofErr w:type="spellEnd"/>
      <w:r w:rsidRPr="00CE0B87">
        <w:rPr>
          <w:rFonts w:ascii="Arial" w:eastAsia="Times New Roman" w:hAnsi="Arial" w:cs="Arial"/>
          <w:color w:val="000000"/>
          <w:sz w:val="24"/>
          <w:szCs w:val="24"/>
          <w:lang w:val="es-ES" w:eastAsia="es-BO"/>
        </w:rPr>
        <w:t>, por lo mismo, la determinación de realizar una Resolución Suprema de conversión y adjudicación, resulta errada.</w:t>
      </w:r>
    </w:p>
    <w:p w14:paraId="110FA897"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tal circunstancia, refiere que al no haberse realizado una correcta valoración y análisis con relación al expediente agrario N° 12395 y reconocer el derecho propietario en la superficie que no corresponde a favor del beneficiario del predio "Ayacucho”, se ha vulnerado los arts. 304, 333 y 343 del DS N° 29215, ya que debió aplicarse la figura jurídica de adjudicación; con el consiguiente pago de adjudicación y no así de conversión, en la superficie total a ser reconocida.</w:t>
      </w:r>
    </w:p>
    <w:p w14:paraId="20C35BF5"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Con relación al predio “Ayacucho I”</w:t>
      </w:r>
    </w:p>
    <w:p w14:paraId="01AB9B3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Refiere que, el Informe Técnico INE/VT/GGT/UST/0131-2021 de 21 de octubre de 2021, realiza una sobreposición de los expedientes agrarios y -además- sobrepone los planos presentados al momento de establecer la supuesta venta de 1994, de lo que se colige:</w:t>
      </w:r>
    </w:p>
    <w:p w14:paraId="2F6DBB29"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1.-</w:t>
      </w:r>
      <w:r w:rsidRPr="00CE0B87">
        <w:rPr>
          <w:rFonts w:ascii="Arial" w:eastAsia="Times New Roman" w:hAnsi="Arial" w:cs="Arial"/>
          <w:color w:val="000000"/>
          <w:sz w:val="24"/>
          <w:szCs w:val="24"/>
          <w:lang w:val="es-ES" w:eastAsia="es-BO"/>
        </w:rPr>
        <w:t> El Fraccionamiento de la propiedad "Ayacucho", fue realizada de forma malintencionada y con fines meramente evasivos del cumplimiento de la FES y de las características agrícolas, por ello, en primer momento, se evidencia el fraccionamiento en tres parcelas, que son totalmente diferentes de las dos parcelas finales levantadas en trabajo de campo de julio de 2015.</w:t>
      </w:r>
    </w:p>
    <w:p w14:paraId="1FB1E040" w14:textId="6F477354"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2.-</w:t>
      </w:r>
      <w:r w:rsidRPr="00CE0B87">
        <w:rPr>
          <w:rFonts w:ascii="Arial" w:eastAsia="Times New Roman" w:hAnsi="Arial" w:cs="Arial"/>
          <w:color w:val="000000"/>
          <w:sz w:val="24"/>
          <w:szCs w:val="24"/>
          <w:lang w:val="es-ES" w:eastAsia="es-BO"/>
        </w:rPr>
        <w:t xml:space="preserve"> En el fraccionamiento supuestamente desarrollado el año 1994, se dejaba sin antecedente agrario al área que se definiría como "Ayacucho I”, con las limitaciones </w:t>
      </w:r>
      <w:r w:rsidRPr="00CE0B87">
        <w:rPr>
          <w:rFonts w:ascii="Arial" w:eastAsia="Times New Roman" w:hAnsi="Arial" w:cs="Arial"/>
          <w:color w:val="000000"/>
          <w:sz w:val="24"/>
          <w:szCs w:val="24"/>
          <w:lang w:val="es-ES" w:eastAsia="es-BO"/>
        </w:rPr>
        <w:lastRenderedPageBreak/>
        <w:t xml:space="preserve">emergentes de este acto. Por ello, de forma dolosa, los beneficiarios plantean un nuevo sistema de fraccionamiento a los fines de burlar el análisis y otorgar sustento en </w:t>
      </w:r>
      <w:proofErr w:type="spellStart"/>
      <w:r w:rsidRPr="00CE0B87">
        <w:rPr>
          <w:rFonts w:ascii="Arial" w:eastAsia="Times New Roman" w:hAnsi="Arial" w:cs="Arial"/>
          <w:color w:val="000000"/>
          <w:sz w:val="24"/>
          <w:szCs w:val="24"/>
          <w:lang w:val="es-ES" w:eastAsia="es-BO"/>
        </w:rPr>
        <w:t>subadquiriencia</w:t>
      </w:r>
      <w:proofErr w:type="spellEnd"/>
      <w:r w:rsidRPr="00CE0B87">
        <w:rPr>
          <w:rFonts w:ascii="Arial" w:eastAsia="Times New Roman" w:hAnsi="Arial" w:cs="Arial"/>
          <w:color w:val="000000"/>
          <w:sz w:val="24"/>
          <w:szCs w:val="24"/>
          <w:lang w:val="es-ES" w:eastAsia="es-BO"/>
        </w:rPr>
        <w:t xml:space="preserve"> en el expediente agrario N° 12395 a cada una de las fracciones, con el objeto de evadir el pago como adjudicatario y generar daño económico al Estado, análisis, que es identificado en el Informe en Conclusiones de 30 de octubre de 2015 e Informe Técnico Legal JRLL-SCN-INF-SAN N° 36/2020 de 14 de febrero de 2020, no concluye con una determinación adecuada y sancionatoria, a la luz de lo dispuesto por el art. 269 del D</w:t>
      </w:r>
      <w:r w:rsidR="00901E98" w:rsidRPr="00CE0B87">
        <w:rPr>
          <w:rFonts w:ascii="Arial" w:eastAsia="Times New Roman" w:hAnsi="Arial" w:cs="Arial"/>
          <w:color w:val="000000"/>
          <w:sz w:val="24"/>
          <w:szCs w:val="24"/>
          <w:lang w:val="es-ES" w:eastAsia="es-BO"/>
        </w:rPr>
        <w:t xml:space="preserve">ecreto </w:t>
      </w:r>
      <w:r w:rsidRPr="00CE0B87">
        <w:rPr>
          <w:rFonts w:ascii="Arial" w:eastAsia="Times New Roman" w:hAnsi="Arial" w:cs="Arial"/>
          <w:color w:val="000000"/>
          <w:sz w:val="24"/>
          <w:szCs w:val="24"/>
          <w:lang w:val="es-ES" w:eastAsia="es-BO"/>
        </w:rPr>
        <w:t>S</w:t>
      </w:r>
      <w:r w:rsidR="00901E98" w:rsidRPr="00CE0B87">
        <w:rPr>
          <w:rFonts w:ascii="Arial" w:eastAsia="Times New Roman" w:hAnsi="Arial" w:cs="Arial"/>
          <w:color w:val="000000"/>
          <w:sz w:val="24"/>
          <w:szCs w:val="24"/>
          <w:lang w:val="es-ES" w:eastAsia="es-BO"/>
        </w:rPr>
        <w:t>upremo</w:t>
      </w:r>
      <w:r w:rsidRPr="00CE0B87">
        <w:rPr>
          <w:rFonts w:ascii="Arial" w:eastAsia="Times New Roman" w:hAnsi="Arial" w:cs="Arial"/>
          <w:color w:val="000000"/>
          <w:sz w:val="24"/>
          <w:szCs w:val="24"/>
          <w:lang w:val="es-ES" w:eastAsia="es-BO"/>
        </w:rPr>
        <w:t xml:space="preserve"> N° 29215.</w:t>
      </w:r>
    </w:p>
    <w:p w14:paraId="05F4C541"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Indica que por ello, otorgar la condición de </w:t>
      </w:r>
      <w:proofErr w:type="spellStart"/>
      <w:r w:rsidRPr="00CE0B87">
        <w:rPr>
          <w:rFonts w:ascii="Arial" w:eastAsia="Times New Roman" w:hAnsi="Arial" w:cs="Arial"/>
          <w:color w:val="000000"/>
          <w:sz w:val="24"/>
          <w:szCs w:val="24"/>
          <w:lang w:val="es-ES" w:eastAsia="es-BO"/>
        </w:rPr>
        <w:t>subadquiriente</w:t>
      </w:r>
      <w:proofErr w:type="spellEnd"/>
      <w:r w:rsidRPr="00CE0B87">
        <w:rPr>
          <w:rFonts w:ascii="Arial" w:eastAsia="Times New Roman" w:hAnsi="Arial" w:cs="Arial"/>
          <w:color w:val="000000"/>
          <w:sz w:val="24"/>
          <w:szCs w:val="24"/>
          <w:lang w:val="es-ES" w:eastAsia="es-BO"/>
        </w:rPr>
        <w:t xml:space="preserve"> a los beneficiarios del predio "Ayacucho I", es errada, ya que, en tres supuestas ventas de 1994, Joaquín Eguez París, vendió a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Maeshiro, una superficie de 1.904.9498 ha; a Diana </w:t>
      </w:r>
      <w:proofErr w:type="spellStart"/>
      <w:r w:rsidRPr="00CE0B87">
        <w:rPr>
          <w:rFonts w:ascii="Arial" w:eastAsia="Times New Roman" w:hAnsi="Arial" w:cs="Arial"/>
          <w:color w:val="000000"/>
          <w:sz w:val="24"/>
          <w:szCs w:val="24"/>
          <w:lang w:val="es-ES" w:eastAsia="es-BO"/>
        </w:rPr>
        <w:t>Meshiro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una superficie de 2.479,97699 ha, y a </w:t>
      </w:r>
      <w:proofErr w:type="spellStart"/>
      <w:r w:rsidRPr="00CE0B87">
        <w:rPr>
          <w:rFonts w:ascii="Arial" w:eastAsia="Times New Roman" w:hAnsi="Arial" w:cs="Arial"/>
          <w:color w:val="000000"/>
          <w:sz w:val="24"/>
          <w:szCs w:val="24"/>
          <w:lang w:val="es-ES" w:eastAsia="es-BO"/>
        </w:rPr>
        <w:t>Noriko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Kuniyoshi</w:t>
      </w:r>
      <w:proofErr w:type="spellEnd"/>
      <w:r w:rsidRPr="00CE0B87">
        <w:rPr>
          <w:rFonts w:ascii="Arial" w:eastAsia="Times New Roman" w:hAnsi="Arial" w:cs="Arial"/>
          <w:color w:val="000000"/>
          <w:sz w:val="24"/>
          <w:szCs w:val="24"/>
          <w:lang w:val="es-ES" w:eastAsia="es-BO"/>
        </w:rPr>
        <w:t>, una superficie de 2.607,1499 ha, en superficies superiores a la adquirida del titular inicial Rubén Pedraza Villarroel, quien en venta posterior transfiere la propiedad a Fabián Eguez y éste, posteriormente, transfirió el predio "Ayacucho" a favor del impetrante Joaquín Eguez París.</w:t>
      </w:r>
    </w:p>
    <w:p w14:paraId="1A400577"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Arguye que, al respecto, del Informe en Conclusiones de 30 de octubre de 2015 e Informe Técnico Legal JRLL-SCN-INF-SAN N° 36/2020 de 14 de febrero de 2020, resulta que no se consideró los elementos descritos.</w:t>
      </w:r>
    </w:p>
    <w:p w14:paraId="251E5836"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otro lado refiere que, con relación al expediente agrario N° 58128, se observa que este se sobrepone totalmente al área mensurada del predio, sin embargo, al estar viciado de nulidad absoluta como emergencia de haberse tramitado la sobreposición a áreas tituladas tramitadas por el CNRA, violentando, en consecuencia, lo dispuesto por el art. 22 de la de la anterior CPE (vigente en su momento) y los arts. 56 y 392 de la actual CPE, por lo que no corresponde su consideración; acusa que, dichos aspectos habrían sido ratificados por el Informe en Conclusiones de 30 de octubre de 2015 e Informe Técnico Legal JRLL-SCN-INF-SAN N° 36/2020 de 14 de febrero de 2020.</w:t>
      </w:r>
    </w:p>
    <w:p w14:paraId="182AC90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lo expuesto, refiere que al no haberse realizado una correcta valoración y análisis en relación al expediente agrario N° 12395, y reconocer el derecho propietario en la superficie que no corresponde a favor del beneficiario del predio "Ayacucho", se ha vulnerado los arts. 304, 333 y 343 del DS N° 29215, al reconocer una superficie en vía de conversión, cuando debió aplicarse la figura de incumplimiento de la FES por relaciones servidumbrales o disponerse la adjudicación.</w:t>
      </w:r>
    </w:p>
    <w:p w14:paraId="3C6E572D"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Con respecto al predio “Tunuma”</w:t>
      </w:r>
    </w:p>
    <w:p w14:paraId="7013201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Refiere que, de la revisión del Informe en Conclusiones de 30 de octubre de 2015 e Informe Técnico Legal JRLL-SCN-INE-SAN N° 36/2020 de 14 de febrero de 2020, se evidencia que los mismos realiza un incorrecta valoración del expediente agrario denominado "SANTA RITA", propiedad que sustenta su adquisición en la Resolución Suprema N° 173563 y el Titulo Ejecutorial N° 646632, que fue citado por el beneficiario como respaldo de derecho propietario; toda vez que, los diferentes informes citados, no realizan valoración alguna de su extremo, limitándose a referir que el antecedente citado ya fue objeto de anulación en el proceso de saneamiento correspondiente al predio "SANTA RITA”; sin embargo, no se analiza sobre el hecho de que se estaría ante una venta fraudulenta por parte de los vendedores de Randolfo Sarabia Flores.</w:t>
      </w:r>
    </w:p>
    <w:p w14:paraId="28C28B17"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Consecuentemente, refiere que el Informe Técnico INF/VT/GGT/UST/0131-2021 de fecha 21 de octubre de 2021, al momento de identificar la ubicación física de las fracciones supuestamente adquiridas de Fortunato Saravia Villarroel, establece que las mismas corresponden a áreas ajenas al área titulada y de su propiedad; en ese entendido, el impetrante Randolfo Saravia Flores, pretende, vía saneamiento, regularizar actos delictuales, aspectos en los cuales el INRA debió realizar una valoración, fundamentando con ello su pronunciamiento.</w:t>
      </w:r>
    </w:p>
    <w:p w14:paraId="4A5EB38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Cuestiona que, el Informe en Conclusiones de 30 de octubre de 2015 e Informe Técnico Legal JRLL-SCN-INF-SAN N° 36/2020 de 14 de febrero de 2020, al no realizar un correcto análisis con relación al expediente agrario y los actos </w:t>
      </w:r>
      <w:proofErr w:type="spellStart"/>
      <w:r w:rsidRPr="00CE0B87">
        <w:rPr>
          <w:rFonts w:ascii="Arial" w:eastAsia="Times New Roman" w:hAnsi="Arial" w:cs="Arial"/>
          <w:color w:val="000000"/>
          <w:sz w:val="24"/>
          <w:szCs w:val="24"/>
          <w:lang w:val="es-ES" w:eastAsia="es-BO"/>
        </w:rPr>
        <w:t>estelionarios</w:t>
      </w:r>
      <w:proofErr w:type="spellEnd"/>
      <w:r w:rsidRPr="00CE0B87">
        <w:rPr>
          <w:rFonts w:ascii="Arial" w:eastAsia="Times New Roman" w:hAnsi="Arial" w:cs="Arial"/>
          <w:color w:val="000000"/>
          <w:sz w:val="24"/>
          <w:szCs w:val="24"/>
          <w:lang w:val="es-ES" w:eastAsia="es-BO"/>
        </w:rPr>
        <w:t xml:space="preserve"> descritos, hicieron un deficiente trabajo, y agrega señalando que corresponde al Tribunal Agroambiental, disponer la nulidad de la Resolución Suprema 26918 de 21 de octubre de 2020, al carecer de sustento técnico y legal.</w:t>
      </w:r>
    </w:p>
    <w:p w14:paraId="2E19B7B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I.1.4.</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Incumplimiento de las características de propiedad mediana y empresarial agropecuaria.</w:t>
      </w:r>
    </w:p>
    <w:p w14:paraId="2BA94BAF"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La parte actora, previamente realiza una relación de los actuados de la carpeta de saneamiento, para señalar que la normativa agraria, establece que para que un predio sea clasificado como empresa agropecuaria, debe cumplir y acreditar a cabalidad los requisitos exigidos por el inc. 3 del art. 41 de la Ley N° 1715; es decir, debe acreditar: La existencia de trabajadores asalariados permanente y/o eventuales y además tener contratos formales o planilla de pago, verdaderos, y tecnología suplementaria, aspectos, que conforme la información generada durante pericias de campo no ha sido plasmada, ya que la presentación de contratos que no cumplen los más mínimos requisitos de legalidad y su innegable contradicción respecto de las planillas de pago y las boletas de sueldos, hacen de la </w:t>
      </w:r>
      <w:r w:rsidRPr="00CE0B87">
        <w:rPr>
          <w:rFonts w:ascii="Arial" w:eastAsia="Times New Roman" w:hAnsi="Arial" w:cs="Arial"/>
          <w:color w:val="000000"/>
          <w:sz w:val="24"/>
          <w:szCs w:val="24"/>
          <w:lang w:val="es-ES" w:eastAsia="es-BO"/>
        </w:rPr>
        <w:lastRenderedPageBreak/>
        <w:t>documentación presentada como no considerable a momento de verificar el cumplimiento de los requisitos.</w:t>
      </w:r>
    </w:p>
    <w:p w14:paraId="18C94381" w14:textId="4DB2E0DF"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otra parte, refiere que los beneficiarios, tienen la carga procesal de probar el cumplimiento de la Función Económico Social, tal como establece el art. 161 del D</w:t>
      </w:r>
      <w:r w:rsidR="007F7DDC" w:rsidRPr="00CE0B87">
        <w:rPr>
          <w:rFonts w:ascii="Arial" w:eastAsia="Times New Roman" w:hAnsi="Arial" w:cs="Arial"/>
          <w:color w:val="000000"/>
          <w:sz w:val="24"/>
          <w:szCs w:val="24"/>
          <w:lang w:val="es-ES" w:eastAsia="es-BO"/>
        </w:rPr>
        <w:t xml:space="preserve">ecreto </w:t>
      </w:r>
      <w:r w:rsidRPr="00CE0B87">
        <w:rPr>
          <w:rFonts w:ascii="Arial" w:eastAsia="Times New Roman" w:hAnsi="Arial" w:cs="Arial"/>
          <w:color w:val="000000"/>
          <w:sz w:val="24"/>
          <w:szCs w:val="24"/>
          <w:lang w:val="es-ES" w:eastAsia="es-BO"/>
        </w:rPr>
        <w:t>S</w:t>
      </w:r>
      <w:r w:rsidR="007F7DDC" w:rsidRPr="00CE0B87">
        <w:rPr>
          <w:rFonts w:ascii="Arial" w:eastAsia="Times New Roman" w:hAnsi="Arial" w:cs="Arial"/>
          <w:color w:val="000000"/>
          <w:sz w:val="24"/>
          <w:szCs w:val="24"/>
          <w:lang w:val="es-ES" w:eastAsia="es-BO"/>
        </w:rPr>
        <w:t>upremo</w:t>
      </w:r>
      <w:r w:rsidRPr="00CE0B87">
        <w:rPr>
          <w:rFonts w:ascii="Arial" w:eastAsia="Times New Roman" w:hAnsi="Arial" w:cs="Arial"/>
          <w:color w:val="000000"/>
          <w:sz w:val="24"/>
          <w:szCs w:val="24"/>
          <w:lang w:val="es-ES" w:eastAsia="es-BO"/>
        </w:rPr>
        <w:t xml:space="preserve"> N° 29215 de 02 de agosto de 2007, aportando toda la documentación necesaria que corrobore lo registrado en Pericias de Campo, que la documentación falsaria y plenamente contradictoria no acreditaría la existencia del régimen de asalariados para el trabajo de la tierra y no se cuenta con documentación idónea que acredite el trabajo tecnificado; consecuentemente, no se puede establecer con certeza el cumplimiento de las características antes citadas en el predio "Ayacucho", que uno de los requisitos esenciales para ser considerado como Empresa Agropecuaria es acreditar la plena existencia de todos los requisitos.</w:t>
      </w:r>
    </w:p>
    <w:p w14:paraId="7C2F77EA" w14:textId="4988A41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Acusa que, todos estos aspectos no fueron considerados por los funcionarios responsables al momento de realizar la valoración técnico legal en el Informe en Conclusiones de 30 de octubre de 2015 e Informe Técnico Legal JRLL-SCN-INF-SAN N° 36/2020 de 14 de febrero de 2020, omitiéndose valorar la documentación faltante en relación al régimen de trabajo asalariado y constancia documental de trabajo tecnificado y capital suplementario, vulnerando lo dispuesto por el art. 179 del </w:t>
      </w:r>
      <w:r w:rsidR="00CE1AC6" w:rsidRPr="00CE0B87">
        <w:rPr>
          <w:rFonts w:ascii="Arial" w:eastAsia="Times New Roman" w:hAnsi="Arial" w:cs="Arial"/>
          <w:color w:val="000000"/>
          <w:sz w:val="24"/>
          <w:szCs w:val="24"/>
          <w:lang w:val="es-ES" w:eastAsia="es-BO"/>
        </w:rPr>
        <w:t>Decreto Supremo</w:t>
      </w:r>
      <w:r w:rsidRPr="00CE0B87">
        <w:rPr>
          <w:rFonts w:ascii="Arial" w:eastAsia="Times New Roman" w:hAnsi="Arial" w:cs="Arial"/>
          <w:color w:val="000000"/>
          <w:sz w:val="24"/>
          <w:szCs w:val="24"/>
          <w:lang w:val="es-ES" w:eastAsia="es-BO"/>
        </w:rPr>
        <w:t xml:space="preserve"> N° 29215 (cita textual).</w:t>
      </w:r>
    </w:p>
    <w:p w14:paraId="441833DC" w14:textId="534BBF5B"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De otro lado refiere que, la no consideración de los arts. 41 de la Ley N° 1715 y 179 del </w:t>
      </w:r>
      <w:r w:rsidR="00CE1AC6" w:rsidRPr="00CE0B87">
        <w:rPr>
          <w:rFonts w:ascii="Arial" w:eastAsia="Times New Roman" w:hAnsi="Arial" w:cs="Arial"/>
          <w:color w:val="000000"/>
          <w:sz w:val="24"/>
          <w:szCs w:val="24"/>
          <w:lang w:val="es-ES" w:eastAsia="es-BO"/>
        </w:rPr>
        <w:t>Decreto Supremo</w:t>
      </w:r>
      <w:r w:rsidRPr="00CE0B87">
        <w:rPr>
          <w:rFonts w:ascii="Arial" w:eastAsia="Times New Roman" w:hAnsi="Arial" w:cs="Arial"/>
          <w:color w:val="000000"/>
          <w:sz w:val="24"/>
          <w:szCs w:val="24"/>
          <w:lang w:val="es-ES" w:eastAsia="es-BO"/>
        </w:rPr>
        <w:t xml:space="preserve"> N° 29215, al momento de realizar la valoración técnico-legal en los actuados señalados conforme a derecho, extremos que invalidan el Informe en Conclusiones de 30 de octubre de 2015 e Informe Técnico Legal JRLL-SCN-INF-SAN N° 36/2020 de 14 de febrero de 2020, toda vez que, las ausencias identificadas han repercutido a momento de constituirse en informes base para la elaboración de la Resolución ahora impugnada, vulnerándose lo dispuesto por el art. 304 del D.S. N° 29215, así como el debido proceso tutelado por la CPE.</w:t>
      </w:r>
    </w:p>
    <w:p w14:paraId="6F8A4F78"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Al respecto, señala que la jurisprudencia agraria ha trazado lineamientos de aplicabilidad inmediata, como es la Sentencia Agroambiental Nacional </w:t>
      </w:r>
      <w:proofErr w:type="spellStart"/>
      <w:r w:rsidRPr="00CE0B87">
        <w:rPr>
          <w:rFonts w:ascii="Arial" w:eastAsia="Times New Roman" w:hAnsi="Arial" w:cs="Arial"/>
          <w:color w:val="000000"/>
          <w:sz w:val="24"/>
          <w:szCs w:val="24"/>
          <w:lang w:val="es-ES" w:eastAsia="es-BO"/>
        </w:rPr>
        <w:t>S</w:t>
      </w:r>
      <w:r w:rsidRPr="00CE0B87">
        <w:rPr>
          <w:rFonts w:ascii="Arial" w:eastAsia="Times New Roman" w:hAnsi="Arial" w:cs="Arial"/>
          <w:color w:val="000000"/>
          <w:sz w:val="24"/>
          <w:szCs w:val="24"/>
          <w:vertAlign w:val="superscript"/>
          <w:lang w:val="es-ES" w:eastAsia="es-BO"/>
        </w:rPr>
        <w:t>a</w:t>
      </w:r>
      <w:proofErr w:type="spellEnd"/>
      <w:r w:rsidRPr="00CE0B87">
        <w:rPr>
          <w:rFonts w:ascii="Arial" w:eastAsia="Times New Roman" w:hAnsi="Arial" w:cs="Arial"/>
          <w:color w:val="000000"/>
          <w:sz w:val="24"/>
          <w:szCs w:val="24"/>
          <w:lang w:val="es-ES" w:eastAsia="es-BO"/>
        </w:rPr>
        <w:t> N° 043/2017, que dispone: “</w:t>
      </w:r>
      <w:r w:rsidRPr="00CE0B87">
        <w:rPr>
          <w:rFonts w:ascii="Arial" w:eastAsia="Times New Roman" w:hAnsi="Arial" w:cs="Arial"/>
          <w:i/>
          <w:iCs/>
          <w:color w:val="000000"/>
          <w:sz w:val="24"/>
          <w:szCs w:val="24"/>
          <w:lang w:val="es-ES" w:eastAsia="es-BO"/>
        </w:rPr>
        <w:t>V.I. En cuanto a la clasificación del predio. - El art. 21 del D.L. N° 3464 elevado a rango de ley en fecha 29 de octubre de 1956 aplicable en merito a lo dispuesto por la Disposición Transitoria Decima de la ley N° 1715, señala "En la zona tropical y subtropical, la propiedad ganadera tendrá las siguientes extensiones: a) Propiedad ganadera pequeña, 500 hectáreas.</w:t>
      </w:r>
    </w:p>
    <w:p w14:paraId="2817928D"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 xml:space="preserve">b) Propiedad ganadera mediana, 2.500 hectáreas...", por su parte la ley N° 1715 en su art. 41.I señala” …; 2. La pequeña propiedad es la fuente de recursos de subsistencia del titular y su familia, es indivisible y tiene carácter de patrimonio </w:t>
      </w:r>
      <w:r w:rsidRPr="00CE0B87">
        <w:rPr>
          <w:rFonts w:ascii="Arial" w:eastAsia="Times New Roman" w:hAnsi="Arial" w:cs="Arial"/>
          <w:i/>
          <w:iCs/>
          <w:color w:val="000000"/>
          <w:sz w:val="24"/>
          <w:szCs w:val="24"/>
          <w:lang w:val="es-ES" w:eastAsia="es-BO"/>
        </w:rPr>
        <w:lastRenderedPageBreak/>
        <w:t>familiar inembargable; 4. La Empresa Agropecuaria es la que pertenece a personas naturales o jurídicas y se explota con capital suplementario, régimen de trabajo asalariado y empleo de medios técnicos modernos. Podrá ser transferida, pignorada o hipotecada conforme a la ley civil…”. </w:t>
      </w:r>
    </w:p>
    <w:p w14:paraId="2B5DEAB0"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Asimismo, el bien en la ficha de registro FES cursante a fs. 35, se menciona la existencia de trabajadores asalariados permanente y eventuales, pero estos datos no tienen respaldo en documentación idónea cursante en antecedentes (pago de planilla de trabajadores) que permita corroborar dicha información, por ello contrario al art. 238.III del D.S. N° 25763, pues no existe posibilidad de verificar dicha información.</w:t>
      </w:r>
    </w:p>
    <w:p w14:paraId="4D013602"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Bajo lo anteriormente desarrollado, debe quedar claro que la clasificación de una propiedad sea en cuanto a su actividad o por su extensión, no basta la declaración del interesado o la presentación de algún documento o, sino la misma está sujeta entre otras principalmente a la verificación de la actividad que se desarrolla y si efectivamente se cumple con la FS o FES según corresponda, aspectos que son verificables durante las pericias de campo; en ese contexto, la clasificación del predio objeto de la demanda como empresa ganadera, no se adecua a lo descrito en el art. 41.3 de la ley N° 1715."</w:t>
      </w:r>
    </w:p>
    <w:p w14:paraId="4281BCEC"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tal sentido, alega que corresponde disponer la nulidad de la Resolución Suprema N° 26918 de 21 de octubre de 2020, al carecer de sustento técnico y legal.</w:t>
      </w:r>
    </w:p>
    <w:p w14:paraId="06398D8B"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I.1.5.</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Ausencia de fundamentación, motivación y congruencia de la Resolución Final de Saneamiento ahora impugnada</w:t>
      </w:r>
      <w:r w:rsidRPr="00CE0B87">
        <w:rPr>
          <w:rFonts w:ascii="Arial" w:eastAsia="Times New Roman" w:hAnsi="Arial" w:cs="Arial"/>
          <w:color w:val="000000"/>
          <w:sz w:val="24"/>
          <w:szCs w:val="24"/>
          <w:lang w:val="es-ES" w:eastAsia="es-BO"/>
        </w:rPr>
        <w:t>.</w:t>
      </w:r>
    </w:p>
    <w:p w14:paraId="68F7BEDF"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Arguye que, de lo expuesto, se advertiría que en el proceso de saneamiento de los predios denominados "Ayacucho", "Ayacucho I” y "Tunuma", existen errores de fondo insubsanables que repercuten en el proceso de saneamiento, conforme todo lo antes referido; acreditándose con todo ello que, la resolución ahora impugnada no tiene la debida motivación, fundamentación y se configura como falta de congruencia, que toda Resolución de forma ineludible debe contener.</w:t>
      </w:r>
    </w:p>
    <w:p w14:paraId="70E65070"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De otra parte, al no considerar en forma objetiva los aspectos que motivaron reconocer a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y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la superficie de 4049.58174 ha, del predio denominado "Ayacucho", a Joaquín Eguez París del predio denominado “Ayacucho I”, en la superficie de 5050,7483 ha y a Randolfo Saravia Flores, en la superficie de 1846.5688 ha, del predio denominado "Tunuma", siendo que, entre otros aspectos, el INRA omitió sustentar en hecho y derecho la decisión asumida, toda vez que, no se habría considerado la totalidad de la normativa agraria por la que se tramitó el proceso de saneamiento; realizando solo una cita de los informes cursantes en antecedentes, que en su contenido son </w:t>
      </w:r>
      <w:r w:rsidRPr="00CE0B87">
        <w:rPr>
          <w:rFonts w:ascii="Arial" w:eastAsia="Times New Roman" w:hAnsi="Arial" w:cs="Arial"/>
          <w:color w:val="000000"/>
          <w:sz w:val="24"/>
          <w:szCs w:val="24"/>
          <w:lang w:val="es-ES" w:eastAsia="es-BO"/>
        </w:rPr>
        <w:lastRenderedPageBreak/>
        <w:t>contradictorios entre sí (Informe en Conclusiones de 30 de octubre de 2015, así como Informe Técnico Legal JRLL-SCN-INF-SAN N° 36/2020 de 14 de febrero de 2020), afectando la congruencia que debe existir en el contenido total de la resolución, omitiendo señalar los fundamentos sobre los que respaldaría su decisión.</w:t>
      </w:r>
    </w:p>
    <w:p w14:paraId="4EA8C2C9"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Sostiene que, el Informe en Conclusiones como una etapa del proceso de saneamiento, prevista por el art. 295.b) del DS. N° 29215, debe contener lo previsto en el art. 304.a) y d) de la referida norma legal, lo que implica la obligatoriedad del ente administrativo encargado de la ejecución del proceso de saneamiento de tierras, de analizar y determinar, en caso de contar el predio sometido a dicho procedimiento con antecedentes de derecho de propiedad, respecto de la existencia o no de vicios de nulidad relativa y/o absoluta del mismo, para con su resultado asumir la determinación administrativa que corresponda en derecho, al ser ésta una actividad propia e inherente a la función de la autoridad administrativa, que por su importancia y trascendencia debe ineludiblemente efectuarse de manera clara, precisa, fundamentada, motivada y respaldada necesariamente en información técnica y legal que avale la determinación a asumirse, en ese entendido, el referido Informe en Conclusiones no se encuentra debidamente fundamentado, es decir, no hace referencia a las diferentes nulidades de obrados existentes en autos, la existencia de una Resolución Determinativa nueva, tampoco refiere a las contradicciones propietarias denunciadas por Joaquín Eguez París, menos hace valoración alguna del fraudulento fraccionamiento intentado en el primer saneamiento y su posterior segregación.</w:t>
      </w:r>
    </w:p>
    <w:p w14:paraId="3B457AA7"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Tampoco hace valoración alguna de la falta de apersonamiento de la Comunidad "Ayacucho", que fue titulada con el expediente N° 12395, considerando que los propietarios actuales hacen mensurar dicha área a su favor, consecuentemente, tampoco hace valoración alguna de la transferencia </w:t>
      </w:r>
      <w:proofErr w:type="spellStart"/>
      <w:r w:rsidRPr="00CE0B87">
        <w:rPr>
          <w:rFonts w:ascii="Arial" w:eastAsia="Times New Roman" w:hAnsi="Arial" w:cs="Arial"/>
          <w:color w:val="000000"/>
          <w:sz w:val="24"/>
          <w:szCs w:val="24"/>
          <w:lang w:val="es-ES" w:eastAsia="es-BO"/>
        </w:rPr>
        <w:t>estelionaria</w:t>
      </w:r>
      <w:proofErr w:type="spellEnd"/>
      <w:r w:rsidRPr="00CE0B87">
        <w:rPr>
          <w:rFonts w:ascii="Arial" w:eastAsia="Times New Roman" w:hAnsi="Arial" w:cs="Arial"/>
          <w:color w:val="000000"/>
          <w:sz w:val="24"/>
          <w:szCs w:val="24"/>
          <w:lang w:val="es-ES" w:eastAsia="es-BO"/>
        </w:rPr>
        <w:t xml:space="preserve"> realizada por Joaquín Eguez París, al transferir a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y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predios </w:t>
      </w:r>
      <w:proofErr w:type="spellStart"/>
      <w:r w:rsidRPr="00CE0B87">
        <w:rPr>
          <w:rFonts w:ascii="Arial" w:eastAsia="Times New Roman" w:hAnsi="Arial" w:cs="Arial"/>
          <w:color w:val="000000"/>
          <w:sz w:val="24"/>
          <w:szCs w:val="24"/>
          <w:lang w:val="es-ES" w:eastAsia="es-BO"/>
        </w:rPr>
        <w:t>comunarios</w:t>
      </w:r>
      <w:proofErr w:type="spellEnd"/>
      <w:r w:rsidRPr="00CE0B87">
        <w:rPr>
          <w:rFonts w:ascii="Arial" w:eastAsia="Times New Roman" w:hAnsi="Arial" w:cs="Arial"/>
          <w:color w:val="000000"/>
          <w:sz w:val="24"/>
          <w:szCs w:val="24"/>
          <w:lang w:val="es-ES" w:eastAsia="es-BO"/>
        </w:rPr>
        <w:t xml:space="preserve"> de terceros, cual si fueren de su propiedad.</w:t>
      </w:r>
    </w:p>
    <w:p w14:paraId="737F2624"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De otra parte, no realizó fundamentación alguna respecto de la disgregación del predio “Tunuma”, del expediente Agrario denominado "Santa Rita", aun cuando el beneficiario acompaña documentales que acreditan esta realidad y se evidencian transferencias </w:t>
      </w:r>
      <w:proofErr w:type="spellStart"/>
      <w:r w:rsidRPr="00CE0B87">
        <w:rPr>
          <w:rFonts w:ascii="Arial" w:eastAsia="Times New Roman" w:hAnsi="Arial" w:cs="Arial"/>
          <w:color w:val="000000"/>
          <w:sz w:val="24"/>
          <w:szCs w:val="24"/>
          <w:lang w:val="es-ES" w:eastAsia="es-BO"/>
        </w:rPr>
        <w:t>estelionarias</w:t>
      </w:r>
      <w:proofErr w:type="spellEnd"/>
      <w:r w:rsidRPr="00CE0B87">
        <w:rPr>
          <w:rFonts w:ascii="Arial" w:eastAsia="Times New Roman" w:hAnsi="Arial" w:cs="Arial"/>
          <w:color w:val="000000"/>
          <w:sz w:val="24"/>
          <w:szCs w:val="24"/>
          <w:lang w:val="es-ES" w:eastAsia="es-BO"/>
        </w:rPr>
        <w:t>.</w:t>
      </w:r>
    </w:p>
    <w:p w14:paraId="6FE72C3C"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Consecuentemente, aduce que al no haber valorado cada uno de los puntos antes referidos y desarrollados en los numerales de la presente demanda, el INRA, incumplió aplicar el entendimiento antes citado, más aún cuando los arts. 65 y 66 </w:t>
      </w:r>
      <w:r w:rsidRPr="00CE0B87">
        <w:rPr>
          <w:rFonts w:ascii="Arial" w:eastAsia="Times New Roman" w:hAnsi="Arial" w:cs="Arial"/>
          <w:color w:val="000000"/>
          <w:sz w:val="24"/>
          <w:szCs w:val="24"/>
          <w:lang w:val="es-ES" w:eastAsia="es-BO"/>
        </w:rPr>
        <w:lastRenderedPageBreak/>
        <w:t>del DS. N° 29215, establecen cuales son las formalidades a cumplir en la emisión de las Resoluciones Administrativas, así como el contenido elemental.</w:t>
      </w:r>
    </w:p>
    <w:p w14:paraId="1298EF10" w14:textId="77777777" w:rsidR="008B7676" w:rsidRPr="00CE0B87" w:rsidRDefault="008B767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Con relación a la congruencia, fundamentación y motivación que debe existir en una Resolución, cita textualmente las Sentencias Constitucionales Plurinacional N° 1302/2015-52 de 13 de noviembre y 0181/2018-S3 de 22 de mayo, acusa que, la Resolución Suprema 26918 de 21 de octubre de 2020, motivo de impugnación, vulnera la garantía al debido proceso en su vertiente de motivación, fundamentación y congruencia, a más de no cumplir lo establecido en los arts. 66 del DS. N° 29215, 27, 28 de la Ley N° 2341 de Procedimiento Administrativo, aspectos con los cuales se desnaturaliza el verdadero objetivo de la Reforma Agraria.</w:t>
      </w:r>
    </w:p>
    <w:p w14:paraId="0D82322A" w14:textId="7CDECE7D" w:rsidR="00EA34DC" w:rsidRPr="00CE0B87" w:rsidRDefault="00EA34DC" w:rsidP="00CE0B87">
      <w:pPr>
        <w:spacing w:after="0" w:line="360" w:lineRule="auto"/>
        <w:jc w:val="both"/>
        <w:rPr>
          <w:rFonts w:ascii="Arial" w:eastAsia="Times New Roman" w:hAnsi="Arial" w:cs="Arial"/>
          <w:b/>
          <w:bCs/>
          <w:sz w:val="24"/>
          <w:szCs w:val="24"/>
          <w:lang w:val="es-ES" w:eastAsia="es-BO"/>
        </w:rPr>
      </w:pPr>
      <w:r w:rsidRPr="00CE0B87">
        <w:rPr>
          <w:rFonts w:ascii="Arial" w:eastAsia="Times New Roman" w:hAnsi="Arial" w:cs="Arial"/>
          <w:b/>
          <w:bCs/>
          <w:sz w:val="24"/>
          <w:szCs w:val="24"/>
          <w:lang w:val="es-ES" w:eastAsia="es-BO"/>
        </w:rPr>
        <w:t>1.2. Argumentos de la contestación</w:t>
      </w:r>
      <w:r w:rsidR="00820DA6" w:rsidRPr="00CE0B87">
        <w:rPr>
          <w:rFonts w:ascii="Arial" w:eastAsia="Times New Roman" w:hAnsi="Arial" w:cs="Arial"/>
          <w:b/>
          <w:bCs/>
          <w:color w:val="000000"/>
          <w:sz w:val="24"/>
          <w:szCs w:val="24"/>
          <w:lang w:val="es-ES" w:eastAsia="es-BO"/>
        </w:rPr>
        <w:t>, de parte de las autoridades demandadas.</w:t>
      </w:r>
    </w:p>
    <w:p w14:paraId="1C98CEF7" w14:textId="4265A4DE"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I.2.1.</w:t>
      </w:r>
      <w:r w:rsidRPr="00CE0B87">
        <w:rPr>
          <w:rFonts w:ascii="Arial" w:eastAsia="Times New Roman" w:hAnsi="Arial" w:cs="Arial"/>
          <w:color w:val="000000"/>
          <w:sz w:val="24"/>
          <w:szCs w:val="24"/>
          <w:lang w:eastAsia="es-BO"/>
        </w:rPr>
        <w:t> Mediante memorial cursante de fs. 142 a 148 de obrados, remitido previamente vía Buzón Judicial, conforme cursa de fs. 153 a 159 de obrados, presentado</w:t>
      </w:r>
      <w:r w:rsidR="008B2DF3" w:rsidRPr="00CE0B87">
        <w:rPr>
          <w:rFonts w:ascii="Arial" w:eastAsia="Times New Roman" w:hAnsi="Arial" w:cs="Arial"/>
          <w:color w:val="000000"/>
          <w:sz w:val="24"/>
          <w:szCs w:val="24"/>
          <w:lang w:eastAsia="es-BO"/>
        </w:rPr>
        <w:t xml:space="preserve"> </w:t>
      </w:r>
      <w:r w:rsidRPr="00CE0B87">
        <w:rPr>
          <w:rFonts w:ascii="Arial" w:eastAsia="Times New Roman" w:hAnsi="Arial" w:cs="Arial"/>
          <w:color w:val="000000"/>
          <w:sz w:val="24"/>
          <w:szCs w:val="24"/>
          <w:lang w:eastAsia="es-BO"/>
        </w:rPr>
        <w:t>por el </w:t>
      </w:r>
      <w:r w:rsidRPr="00CE0B87">
        <w:rPr>
          <w:rFonts w:ascii="Arial" w:eastAsia="Times New Roman" w:hAnsi="Arial" w:cs="Arial"/>
          <w:b/>
          <w:bCs/>
          <w:i/>
          <w:iCs/>
          <w:color w:val="000000"/>
          <w:sz w:val="24"/>
          <w:szCs w:val="24"/>
          <w:lang w:eastAsia="es-BO"/>
        </w:rPr>
        <w:t>Presidente del Estado Plurinacional de Bolivia</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 xml:space="preserve">legalmente representado por Eulogio </w:t>
      </w:r>
      <w:proofErr w:type="spellStart"/>
      <w:r w:rsidRPr="00CE0B87">
        <w:rPr>
          <w:rFonts w:ascii="Arial" w:eastAsia="Times New Roman" w:hAnsi="Arial" w:cs="Arial"/>
          <w:color w:val="000000"/>
          <w:sz w:val="24"/>
          <w:szCs w:val="24"/>
          <w:lang w:eastAsia="es-BO"/>
        </w:rPr>
        <w:t>Nuñez</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Aramayo</w:t>
      </w:r>
      <w:proofErr w:type="spellEnd"/>
      <w:r w:rsidRPr="00CE0B87">
        <w:rPr>
          <w:rFonts w:ascii="Arial" w:eastAsia="Times New Roman" w:hAnsi="Arial" w:cs="Arial"/>
          <w:color w:val="000000"/>
          <w:sz w:val="24"/>
          <w:szCs w:val="24"/>
          <w:lang w:eastAsia="es-BO"/>
        </w:rPr>
        <w:t>, Director Nacional a. i. del Instituto Nacional de Reforma Agraria, en mérito al Testimonio Poder N° 1076/2021 de 23 de noviembre, manifiesta que, se tenga por respondida la demanda, debiendo pronunciarse el correspondiente fallo conforme corresponde a derecho, tomando en cuenta los antecedentes contenidos en el indicado proceso de saneamiento y la normativa legal aplicable al presente caso, con los siguientes argumentos:</w:t>
      </w:r>
    </w:p>
    <w:p w14:paraId="2D48A9F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Con relación al punto 1; </w:t>
      </w:r>
      <w:r w:rsidRPr="00CE0B87">
        <w:rPr>
          <w:rFonts w:ascii="Arial" w:eastAsia="Times New Roman" w:hAnsi="Arial" w:cs="Arial"/>
          <w:color w:val="000000"/>
          <w:sz w:val="24"/>
          <w:szCs w:val="24"/>
          <w:lang w:eastAsia="es-BO"/>
        </w:rPr>
        <w:t xml:space="preserve">refiere que, corresponde señalar que de fs. 766 a fs. 779 de obrados (foliación inferior de la carpeta de saneamiento), cursan planillas de sueldos, Contratos de trabajo y boletas de pago de Edgar Ortiz </w:t>
      </w:r>
      <w:proofErr w:type="spellStart"/>
      <w:r w:rsidRPr="00CE0B87">
        <w:rPr>
          <w:rFonts w:ascii="Arial" w:eastAsia="Times New Roman" w:hAnsi="Arial" w:cs="Arial"/>
          <w:color w:val="000000"/>
          <w:sz w:val="24"/>
          <w:szCs w:val="24"/>
          <w:lang w:eastAsia="es-BO"/>
        </w:rPr>
        <w:t>Yriarte</w:t>
      </w:r>
      <w:proofErr w:type="spellEnd"/>
      <w:r w:rsidRPr="00CE0B87">
        <w:rPr>
          <w:rFonts w:ascii="Arial" w:eastAsia="Times New Roman" w:hAnsi="Arial" w:cs="Arial"/>
          <w:color w:val="000000"/>
          <w:sz w:val="24"/>
          <w:szCs w:val="24"/>
          <w:lang w:eastAsia="es-BO"/>
        </w:rPr>
        <w:t xml:space="preserve">, Francisco </w:t>
      </w:r>
      <w:proofErr w:type="spellStart"/>
      <w:r w:rsidRPr="00CE0B87">
        <w:rPr>
          <w:rFonts w:ascii="Arial" w:eastAsia="Times New Roman" w:hAnsi="Arial" w:cs="Arial"/>
          <w:color w:val="000000"/>
          <w:sz w:val="24"/>
          <w:szCs w:val="24"/>
          <w:lang w:eastAsia="es-BO"/>
        </w:rPr>
        <w:t>Soliz</w:t>
      </w:r>
      <w:proofErr w:type="spellEnd"/>
      <w:r w:rsidRPr="00CE0B87">
        <w:rPr>
          <w:rFonts w:ascii="Arial" w:eastAsia="Times New Roman" w:hAnsi="Arial" w:cs="Arial"/>
          <w:color w:val="000000"/>
          <w:sz w:val="24"/>
          <w:szCs w:val="24"/>
          <w:lang w:eastAsia="es-BO"/>
        </w:rPr>
        <w:t xml:space="preserve"> Viana, Benedicto Orellana </w:t>
      </w:r>
      <w:proofErr w:type="spellStart"/>
      <w:r w:rsidRPr="00CE0B87">
        <w:rPr>
          <w:rFonts w:ascii="Arial" w:eastAsia="Times New Roman" w:hAnsi="Arial" w:cs="Arial"/>
          <w:color w:val="000000"/>
          <w:sz w:val="24"/>
          <w:szCs w:val="24"/>
          <w:lang w:eastAsia="es-BO"/>
        </w:rPr>
        <w:t>Colque</w:t>
      </w:r>
      <w:proofErr w:type="spellEnd"/>
      <w:r w:rsidRPr="00CE0B87">
        <w:rPr>
          <w:rFonts w:ascii="Arial" w:eastAsia="Times New Roman" w:hAnsi="Arial" w:cs="Arial"/>
          <w:color w:val="000000"/>
          <w:sz w:val="24"/>
          <w:szCs w:val="24"/>
          <w:lang w:eastAsia="es-BO"/>
        </w:rPr>
        <w:t xml:space="preserve"> e Hilarión Moreno </w:t>
      </w:r>
      <w:proofErr w:type="spellStart"/>
      <w:r w:rsidRPr="00CE0B87">
        <w:rPr>
          <w:rFonts w:ascii="Arial" w:eastAsia="Times New Roman" w:hAnsi="Arial" w:cs="Arial"/>
          <w:color w:val="000000"/>
          <w:sz w:val="24"/>
          <w:szCs w:val="24"/>
          <w:lang w:eastAsia="es-BO"/>
        </w:rPr>
        <w:t>Irapi</w:t>
      </w:r>
      <w:proofErr w:type="spellEnd"/>
      <w:r w:rsidRPr="00CE0B87">
        <w:rPr>
          <w:rFonts w:ascii="Arial" w:eastAsia="Times New Roman" w:hAnsi="Arial" w:cs="Arial"/>
          <w:color w:val="000000"/>
          <w:sz w:val="24"/>
          <w:szCs w:val="24"/>
          <w:lang w:eastAsia="es-BO"/>
        </w:rPr>
        <w:t xml:space="preserve">, evidenciándose la existencia de la relación laboral con los beneficiarios del predio denominado “Ayacucho”; asimismo, de fs. 872 a 875 de obrados (foliación inferior de la carpeta de saneamiento), cursan Contratos de Trabajo de los señores Mauricio Casia Gonzales, José María Bejarano Ortiz, Osmar Carmelo Corpa </w:t>
      </w:r>
      <w:proofErr w:type="spellStart"/>
      <w:r w:rsidRPr="00CE0B87">
        <w:rPr>
          <w:rFonts w:ascii="Arial" w:eastAsia="Times New Roman" w:hAnsi="Arial" w:cs="Arial"/>
          <w:color w:val="000000"/>
          <w:sz w:val="24"/>
          <w:szCs w:val="24"/>
          <w:lang w:eastAsia="es-BO"/>
        </w:rPr>
        <w:t>Irapi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Ronal</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Choma</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Supayape</w:t>
      </w:r>
      <w:proofErr w:type="spellEnd"/>
      <w:r w:rsidRPr="00CE0B87">
        <w:rPr>
          <w:rFonts w:ascii="Arial" w:eastAsia="Times New Roman" w:hAnsi="Arial" w:cs="Arial"/>
          <w:color w:val="000000"/>
          <w:sz w:val="24"/>
          <w:szCs w:val="24"/>
          <w:lang w:eastAsia="es-BO"/>
        </w:rPr>
        <w:t xml:space="preserve">, de donde se evidenciaría la existencia de relación laboral entre los referidos señores con el beneficiario del predio denominado “Ayacucho I”, documentos que fueron recabados en los referidos predios al momento del Relevamiento de Información en Campo, conforme se evidencia de las Actas de Recepción de Documentos cursantes a fs. 733 y fs. 854 de la carpeta de saneamiento (foliación inferior); señala que, cuando se presentan este tipo de problemáticas durante el Proceso de Saneamiento de la propiedad agraria, el Instituto Nacional de Reforma Agraria al momento de la verificación de la función </w:t>
      </w:r>
      <w:r w:rsidRPr="00CE0B87">
        <w:rPr>
          <w:rFonts w:ascii="Arial" w:eastAsia="Times New Roman" w:hAnsi="Arial" w:cs="Arial"/>
          <w:color w:val="000000"/>
          <w:sz w:val="24"/>
          <w:szCs w:val="24"/>
          <w:lang w:eastAsia="es-BO"/>
        </w:rPr>
        <w:lastRenderedPageBreak/>
        <w:t>económico social, tiene la atribución para establecer la existencia de sistemas servidumbrales, trabajo forzoso o formas análogas en predios agrarios, con las consecuencias establecidas en el art. 157 del Decreto Reglamentario N° 29215 de 2 de agosto de 2007.</w:t>
      </w:r>
    </w:p>
    <w:p w14:paraId="57ADE14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Respecto al punto </w:t>
      </w:r>
      <w:r w:rsidRPr="00CE0B87">
        <w:rPr>
          <w:rFonts w:ascii="Arial" w:eastAsia="Times New Roman" w:hAnsi="Arial" w:cs="Arial"/>
          <w:b/>
          <w:bCs/>
          <w:color w:val="000000"/>
          <w:sz w:val="24"/>
          <w:szCs w:val="24"/>
          <w:lang w:val="es-ES" w:eastAsia="es-BO"/>
        </w:rPr>
        <w:t>2</w:t>
      </w:r>
      <w:r w:rsidRPr="00CE0B87">
        <w:rPr>
          <w:rFonts w:ascii="Arial" w:eastAsia="Times New Roman" w:hAnsi="Arial" w:cs="Arial"/>
          <w:color w:val="000000"/>
          <w:sz w:val="24"/>
          <w:szCs w:val="24"/>
          <w:lang w:val="es-ES" w:eastAsia="es-BO"/>
        </w:rPr>
        <w:t>; indica que el </w:t>
      </w:r>
      <w:r w:rsidRPr="00CE0B87">
        <w:rPr>
          <w:rFonts w:ascii="Arial" w:eastAsia="Times New Roman" w:hAnsi="Arial" w:cs="Arial"/>
          <w:color w:val="000000"/>
          <w:sz w:val="24"/>
          <w:szCs w:val="24"/>
          <w:lang w:eastAsia="es-BO"/>
        </w:rPr>
        <w:t>proceso de saneamiento de los predios denominados “Ayacucho” y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fueron ejecutados inicialmente mediante Resolución Administrativa DDSCRA N° 0103/2010 de 27 de agosto de 2010, habiéndose anulado dicho proceso de saneamiento a través de Resolución Administrativa RES-ADM-RA SS N° 0296/2015 de 07 de julio de 2015, toda vez que, el área determinada para el saneamiento se habría sobrepuesto a predios titulados; en ese entendido, mediante Resolución Administrativa RES-ADM-RA SS N° 0301/2015 de 16 de julio de 2015, nuevamente se ejecutaron los trabajos de Relevamiento de Información en Campo, habiéndose identificado en ese momento los predios “Ayacucho”, “Ayacucho I” y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conforme se evidenciaría del Informe en Conclusiones de 30 de octubre de 2015 e Informe Técnico – Legal JRLL-SCN-INF-SAN N° 36/2020 de 14 de febrero de 2020; consiguientemente, con base en los citados informes se emitió la Resolución Suprema N° 26918 de 21 de octubre de 2020.</w:t>
      </w:r>
    </w:p>
    <w:p w14:paraId="44A7DAC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En respuesta al punto </w:t>
      </w:r>
      <w:r w:rsidRPr="00CE0B87">
        <w:rPr>
          <w:rFonts w:ascii="Arial" w:eastAsia="Times New Roman" w:hAnsi="Arial" w:cs="Arial"/>
          <w:b/>
          <w:bCs/>
          <w:color w:val="000000"/>
          <w:sz w:val="24"/>
          <w:szCs w:val="24"/>
          <w:lang w:val="es-ES" w:eastAsia="es-BO"/>
        </w:rPr>
        <w:t>3;</w:t>
      </w:r>
      <w:r w:rsidRPr="00CE0B87">
        <w:rPr>
          <w:rFonts w:ascii="Arial" w:eastAsia="Times New Roman" w:hAnsi="Arial" w:cs="Arial"/>
          <w:color w:val="000000"/>
          <w:sz w:val="24"/>
          <w:szCs w:val="24"/>
          <w:lang w:val="es-ES" w:eastAsia="es-BO"/>
        </w:rPr>
        <w:t> señala que el </w:t>
      </w:r>
      <w:r w:rsidRPr="00CE0B87">
        <w:rPr>
          <w:rFonts w:ascii="Arial" w:eastAsia="Times New Roman" w:hAnsi="Arial" w:cs="Arial"/>
          <w:color w:val="000000"/>
          <w:sz w:val="24"/>
          <w:szCs w:val="24"/>
          <w:lang w:eastAsia="es-BO"/>
        </w:rPr>
        <w:t>Informe Técnico de Diagnóstico de 23 de agosto de 2010, donde se evidencia la identificación del Expediente Agrario N° 12395 (B), correspondiente al predio “Ayacucho”, con una superficie de 2832 ha; así como el Expediente Agrario N° 20519, correspondiente al predio </w:t>
      </w:r>
      <w:r w:rsidRPr="00CE0B87">
        <w:rPr>
          <w:rFonts w:ascii="Arial" w:eastAsia="Times New Roman" w:hAnsi="Arial" w:cs="Arial"/>
          <w:color w:val="000000"/>
          <w:sz w:val="24"/>
          <w:szCs w:val="24"/>
          <w:lang w:val="es-ES" w:eastAsia="es-BO"/>
        </w:rPr>
        <w:t>“</w:t>
      </w:r>
      <w:r w:rsidRPr="00CE0B87">
        <w:rPr>
          <w:rFonts w:ascii="Arial" w:eastAsia="Times New Roman" w:hAnsi="Arial" w:cs="Arial"/>
          <w:color w:val="000000"/>
          <w:sz w:val="24"/>
          <w:szCs w:val="24"/>
          <w:lang w:eastAsia="es-BO"/>
        </w:rPr>
        <w:t>Santa Rita”, con una superficie de 2209 ha, conforme se observaría en el punto 8 identificación de predios con antecedente en expedientes agrarios del Informe Técnico de Diagnóstico de 23 de agosto de 2010, cursante de fs. 58 a 72 de obrados.</w:t>
      </w:r>
    </w:p>
    <w:p w14:paraId="7681AFE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De otra parte, indica que, en el Informe Técnico - Legal de Diagnóstico DDSC-CO I- INF. N° 01874/2015 de 15 de julio de 2015, se detalla entre otros expedientes, a los Expedientes Agrarios N° 12395 y N° 58128, mismos que se sobreponen al predio objeto de saneamiento denominado “Ayacucho”; agrega señalando que, el referido Informe de Diagnóstico, mereció la elaboración del Informe Técnico Complementario al Diagnóstico DDSC-CO-I- INF- N° 2134/2015, por el cual se concluye que los Expedientes Agrarios N° 58128 y N° 12395-B, recaen sobre el área de saneamiento del polígono 137, correspondiente a los predios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xml:space="preserve">”, “Ayacucho” y “Ayacucho I”, conforme se advierte del Mosaico Referencial, cursante a fs. 1029 de obrados; de otro lado, arguye que, con relación al Expediente Agrario N° 20519, del predio “Santa Rita”, el referido informe complementario, señala que el mismo, habría sido valorado dentro el proceso de saneamiento del predio “Santa </w:t>
      </w:r>
      <w:r w:rsidRPr="00CE0B87">
        <w:rPr>
          <w:rFonts w:ascii="Arial" w:eastAsia="Times New Roman" w:hAnsi="Arial" w:cs="Arial"/>
          <w:color w:val="000000"/>
          <w:sz w:val="24"/>
          <w:szCs w:val="24"/>
          <w:lang w:eastAsia="es-BO"/>
        </w:rPr>
        <w:lastRenderedPageBreak/>
        <w:t>Rita”, con Título Ejecutorial MPENAL000758, emitido a favor de Fortunato Saravia Villarroel.</w:t>
      </w:r>
    </w:p>
    <w:p w14:paraId="684725E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En tal circunstancia, aduce que, con estos antecedentes es que se elabora el Informe en Conclusiones de 30 de octubre de 2015 e Informe Técnico - Legal JRLL-SCN-INF-SAN N° 36/2020 de 14 de febrero de 2020, base para la emisión de la Resolución, hoy impugnada.</w:t>
      </w:r>
    </w:p>
    <w:p w14:paraId="0C863D9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Con relación al punto </w:t>
      </w:r>
      <w:r w:rsidRPr="00CE0B87">
        <w:rPr>
          <w:rFonts w:ascii="Arial" w:eastAsia="Times New Roman" w:hAnsi="Arial" w:cs="Arial"/>
          <w:b/>
          <w:bCs/>
          <w:color w:val="000000"/>
          <w:sz w:val="24"/>
          <w:szCs w:val="24"/>
          <w:lang w:val="es-ES" w:eastAsia="es-BO"/>
        </w:rPr>
        <w:t>4;</w:t>
      </w:r>
      <w:r w:rsidRPr="00CE0B87">
        <w:rPr>
          <w:rFonts w:ascii="Arial" w:eastAsia="Times New Roman" w:hAnsi="Arial" w:cs="Arial"/>
          <w:color w:val="000000"/>
          <w:sz w:val="24"/>
          <w:szCs w:val="24"/>
          <w:lang w:val="es-ES" w:eastAsia="es-BO"/>
        </w:rPr>
        <w:t> </w:t>
      </w:r>
      <w:r w:rsidRPr="00CE0B87">
        <w:rPr>
          <w:rFonts w:ascii="Arial" w:eastAsia="Times New Roman" w:hAnsi="Arial" w:cs="Arial"/>
          <w:color w:val="000000"/>
          <w:sz w:val="24"/>
          <w:szCs w:val="24"/>
          <w:lang w:eastAsia="es-BO"/>
        </w:rPr>
        <w:t xml:space="preserve">respecto a los predios en cuestión, sostiene que, se tiene que del Informe en Conclusiones de 30 de octubre de 2015, el predio denominado “Ayacucho” es clasificado como Empresarial; asimismo, se recomienda vía conversión y adjudicación se otorgue nuevo Título Ejecutorial en favor de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Cochi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y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el predio “Ayacucho”, con una superficie de 5000.0000 ha; además, indica que, en aplicación del art. 398 de la CPE, que establece que la superficie máxima de la propiedad no podrá exceder de cinco mil hectáreas, por lo que se recomienda declarar Tierra Fiscal en la superficie de 4120.8454 ha, en razón de que los predios denominados “Ayacucho” y “Ayacucho I”, son considerados como una sola unidad productiva.</w:t>
      </w:r>
    </w:p>
    <w:p w14:paraId="14F519C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 xml:space="preserve">De otra parte argumenta que, de la revisión del Informe Técnico - Legal JRLL-SCN-INF-SAN N° 36/2020 de 14 de febrero de 2020,  se recomienda vía conversión y adjudicación se otorgue nuevo Título Ejecutorial en favor de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y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el predio “Ayacucho” con una superficie de 4049.8371 ha, clasificada como empresarial ganadera y en favor de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el predio denominado “Ayacucho I” con una superficie de 5050.7483 ha, clasificada como empresarial ganadera.</w:t>
      </w:r>
    </w:p>
    <w:p w14:paraId="19E9C36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Asimismo, manifiesta que, del Informe en Conclusiones de 30 de octubre de 2015, así como del Informe Técnico - Legal JRLI-SCN-INF-SAN N° 36/2020, como refiere la parte demandante, no se consideró la existencia de trabajadores asalariados permanentes y/o eventuales de los predios denominados “Ayacucho” y “Ayacucho I”, los contratos formales o planillas de pago de los trabajadores y la tecnología suplementaria existente en los predios “Ayacucho” y “Ayacucho I”; sobre el particular, cita de forma textual los numerales 3 y 4 del parágrafo I del Art. 41 de la Ley N° 1715.</w:t>
      </w:r>
    </w:p>
    <w:p w14:paraId="37FAFCE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En cuanto al punto </w:t>
      </w:r>
      <w:r w:rsidRPr="00CE0B87">
        <w:rPr>
          <w:rFonts w:ascii="Arial" w:eastAsia="Times New Roman" w:hAnsi="Arial" w:cs="Arial"/>
          <w:b/>
          <w:bCs/>
          <w:color w:val="000000"/>
          <w:sz w:val="24"/>
          <w:szCs w:val="24"/>
          <w:lang w:val="es-ES" w:eastAsia="es-BO"/>
        </w:rPr>
        <w:t>5; </w:t>
      </w:r>
      <w:r w:rsidRPr="00CE0B87">
        <w:rPr>
          <w:rFonts w:ascii="Arial" w:eastAsia="Times New Roman" w:hAnsi="Arial" w:cs="Arial"/>
          <w:color w:val="000000"/>
          <w:sz w:val="24"/>
          <w:szCs w:val="24"/>
          <w:lang w:val="es-ES" w:eastAsia="es-BO"/>
        </w:rPr>
        <w:t>indica que, </w:t>
      </w:r>
      <w:r w:rsidRPr="00CE0B87">
        <w:rPr>
          <w:rFonts w:ascii="Arial" w:eastAsia="Times New Roman" w:hAnsi="Arial" w:cs="Arial"/>
          <w:color w:val="000000"/>
          <w:sz w:val="24"/>
          <w:szCs w:val="24"/>
          <w:lang w:eastAsia="es-BO"/>
        </w:rPr>
        <w:t>de la revisión de la Resolución Final de Saneamiento cuestionada, contiene una relación de las actuaciones realizadas durante la ejecución del proceso de saneamiento de los predios denominados "Ayacucho”, “Ayacucho I” y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xml:space="preserve">”; es decir, que las resoluciones e informes que se mencionan en la parte considerativa describen hechos y están acompañados de </w:t>
      </w:r>
      <w:r w:rsidRPr="00CE0B87">
        <w:rPr>
          <w:rFonts w:ascii="Arial" w:eastAsia="Times New Roman" w:hAnsi="Arial" w:cs="Arial"/>
          <w:color w:val="000000"/>
          <w:sz w:val="24"/>
          <w:szCs w:val="24"/>
          <w:lang w:eastAsia="es-BO"/>
        </w:rPr>
        <w:lastRenderedPageBreak/>
        <w:t>las citas o referencias normativas sobre cuya base se emitieron o se ejecutaron; dejándose en claro que las resoluciones, informes y demás actuados que se mencionan en la Resolución impugnada, forman parte de su respaldo, toda  vez que, el art. 65 inc. c) del D.S. N° 29215, así lo establece, cuando menciona que toda resolución debe basarse en un informe legal o técnico.</w:t>
      </w:r>
    </w:p>
    <w:p w14:paraId="32C5B8C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Refiere que, el Informe Técnico legal DGST-JRIL-INF-SAN N° 285/2021 de 24 de septiembre de 2021, con relación a los predios objeto de Litis, señala observaciones y omisiones en el proceso de saneamiento.</w:t>
      </w:r>
    </w:p>
    <w:p w14:paraId="664EC2B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Por lo descrito, se remite a los antecedentes del proceso de saneamiento, y que en mérito al principio de control de legalidad solicita se proceda a la verificación, análisis del control de los actos efectuados y desarrollados en el proceso de saneamiento.</w:t>
      </w:r>
    </w:p>
    <w:p w14:paraId="7690120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I.2.2. </w:t>
      </w:r>
      <w:r w:rsidRPr="00CE0B87">
        <w:rPr>
          <w:rFonts w:ascii="Arial" w:eastAsia="Times New Roman" w:hAnsi="Arial" w:cs="Arial"/>
          <w:color w:val="000000"/>
          <w:sz w:val="24"/>
          <w:szCs w:val="24"/>
          <w:lang w:eastAsia="es-BO"/>
        </w:rPr>
        <w:t>De fs. 132 a 135 vta. de obrados, cursa memorial de contestación, inicialmente remitido vía Correo Electrónico Institucional, cursante de fs. 115 a 118 vta., presentado por el </w:t>
      </w:r>
      <w:r w:rsidRPr="00CE0B87">
        <w:rPr>
          <w:rFonts w:ascii="Arial" w:eastAsia="Times New Roman" w:hAnsi="Arial" w:cs="Arial"/>
          <w:b/>
          <w:bCs/>
          <w:i/>
          <w:iCs/>
          <w:color w:val="000000"/>
          <w:sz w:val="24"/>
          <w:szCs w:val="24"/>
          <w:lang w:eastAsia="es-BO"/>
        </w:rPr>
        <w:t>Ministro de Desarrollo Rural y Tierras</w:t>
      </w:r>
      <w:r w:rsidRPr="00CE0B87">
        <w:rPr>
          <w:rFonts w:ascii="Arial" w:eastAsia="Times New Roman" w:hAnsi="Arial" w:cs="Arial"/>
          <w:color w:val="000000"/>
          <w:sz w:val="24"/>
          <w:szCs w:val="24"/>
          <w:lang w:eastAsia="es-BO"/>
        </w:rPr>
        <w:t>, a través de sus apoderados legales, en mérito al Testimonio Poder N° 453/2021 de 14 de septiembre, cursante de fs. 125 a 128 de obrados, refieren que se efectué el control de legalidad de los actos administrativos emitidos por el INRA, con base a los siguientes argumentos:</w:t>
      </w:r>
    </w:p>
    <w:p w14:paraId="1010C847" w14:textId="17B7B640"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 xml:space="preserve">1. </w:t>
      </w:r>
      <w:r w:rsidR="006B1506">
        <w:rPr>
          <w:rFonts w:ascii="Arial" w:eastAsia="Times New Roman" w:hAnsi="Arial" w:cs="Arial"/>
          <w:b/>
          <w:bCs/>
          <w:color w:val="000000"/>
          <w:sz w:val="24"/>
          <w:szCs w:val="24"/>
          <w:lang w:val="es-ES" w:eastAsia="es-BO"/>
        </w:rPr>
        <w:t>R</w:t>
      </w:r>
      <w:r w:rsidRPr="00CE0B87">
        <w:rPr>
          <w:rFonts w:ascii="Arial" w:eastAsia="Times New Roman" w:hAnsi="Arial" w:cs="Arial"/>
          <w:b/>
          <w:bCs/>
          <w:color w:val="000000"/>
          <w:sz w:val="24"/>
          <w:szCs w:val="24"/>
          <w:lang w:val="es-ES" w:eastAsia="es-BO"/>
        </w:rPr>
        <w:t>eferido a la identificación de relaciones servidumbrales</w:t>
      </w:r>
      <w:r w:rsidRPr="00CE0B87">
        <w:rPr>
          <w:rFonts w:ascii="Arial" w:eastAsia="Times New Roman" w:hAnsi="Arial" w:cs="Arial"/>
          <w:color w:val="000000"/>
          <w:sz w:val="24"/>
          <w:szCs w:val="24"/>
          <w:lang w:val="es-ES" w:eastAsia="es-BO"/>
        </w:rPr>
        <w:t>; al margen de realizar un resumen con relación al primer punto demandado, señala que: “…</w:t>
      </w:r>
      <w:r w:rsidRPr="00CE0B87">
        <w:rPr>
          <w:rFonts w:ascii="Arial" w:eastAsia="Times New Roman" w:hAnsi="Arial" w:cs="Arial"/>
          <w:i/>
          <w:iCs/>
          <w:color w:val="000000"/>
          <w:sz w:val="24"/>
          <w:szCs w:val="24"/>
          <w:lang w:val="es-ES" w:eastAsia="es-BO"/>
        </w:rPr>
        <w:t>Toda vez que, los argumentos y fundamentos efectuadas por el Viceministerio de Tierras, emerge de los antecedentes técnico legales del proceso de saneamiento, nos allanamos a las consideraciones vertidas siendo que el proceso se encuentra con Resolución Suprema, es decir en última etapa, como última instancia, para resolver el fondo de la demanda</w:t>
      </w:r>
      <w:r w:rsidRPr="00CE0B87">
        <w:rPr>
          <w:rFonts w:ascii="Arial" w:eastAsia="Times New Roman" w:hAnsi="Arial" w:cs="Arial"/>
          <w:color w:val="000000"/>
          <w:sz w:val="24"/>
          <w:szCs w:val="24"/>
          <w:lang w:val="es-ES" w:eastAsia="es-BO"/>
        </w:rPr>
        <w:t>…” (sic).</w:t>
      </w:r>
    </w:p>
    <w:p w14:paraId="6EDFF99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Respecto a los puntos 2. Identificación de Fraccionamiento Fraudulento; y, 3. Mala valoración de los antecedentes agrarios en el relevamiento en gabinete</w:t>
      </w:r>
      <w:r w:rsidRPr="00CE0B87">
        <w:rPr>
          <w:rFonts w:ascii="Arial" w:eastAsia="Times New Roman" w:hAnsi="Arial" w:cs="Arial"/>
          <w:color w:val="000000"/>
          <w:sz w:val="24"/>
          <w:szCs w:val="24"/>
          <w:lang w:val="es-ES" w:eastAsia="es-BO"/>
        </w:rPr>
        <w:t xml:space="preserve">; refiere que, de la revisión de los antecedentes en la gestión 2010, se dio inicio al proceso de saneamiento de los predios "Ayacucho" y "Ayacucho I", como resultado de esta actividad se identificó dos propiedades, las correspondientes a los predios "Ayacucho" y "Tunuma", por lo que, mediante Informe N° DGS- JRLL-SC - NORTE N° 531/2012, de 22 de junio de 2012, se recomienda adjudicar a favor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Noriko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Kuniyoshi</w:t>
      </w:r>
      <w:proofErr w:type="spellEnd"/>
      <w:r w:rsidRPr="00CE0B87">
        <w:rPr>
          <w:rFonts w:ascii="Arial" w:eastAsia="Times New Roman" w:hAnsi="Arial" w:cs="Arial"/>
          <w:color w:val="000000"/>
          <w:sz w:val="24"/>
          <w:szCs w:val="24"/>
          <w:lang w:val="es-ES" w:eastAsia="es-BO"/>
        </w:rPr>
        <w:t xml:space="preserve">,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y Joaquín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la superficie de 5.000,0000 ha, proceso que fue anulado el 16 de julio de 2015, es así que se estableció nueva fecha para efectuar las actividades de Relevamiento de Información en Campo de los predios de referencia, dentro del </w:t>
      </w:r>
      <w:r w:rsidRPr="00CE0B87">
        <w:rPr>
          <w:rFonts w:ascii="Arial" w:eastAsia="Times New Roman" w:hAnsi="Arial" w:cs="Arial"/>
          <w:color w:val="000000"/>
          <w:sz w:val="24"/>
          <w:szCs w:val="24"/>
          <w:lang w:val="es-ES" w:eastAsia="es-BO"/>
        </w:rPr>
        <w:lastRenderedPageBreak/>
        <w:t xml:space="preserve">plazo establecido por ley, los beneficiarios de los predios "Ayacucho" y "Ayacucho I", se limitaron a presentar la documentación descrita de fs. 746 y 854, en la cual, únicamente se detalla la presentación de una transferencia, empero, el INRA mediante Informe Técnico Legal JRLL-SCN-INF-SAN N° 36/2020 de 14 de febrero de 2020, consideró el documento de medidas precautorias de reconocimiento de firma, seguida por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contra </w:t>
      </w:r>
      <w:proofErr w:type="spellStart"/>
      <w:r w:rsidRPr="00CE0B87">
        <w:rPr>
          <w:rFonts w:ascii="Arial" w:eastAsia="Times New Roman" w:hAnsi="Arial" w:cs="Arial"/>
          <w:color w:val="000000"/>
          <w:sz w:val="24"/>
          <w:szCs w:val="24"/>
          <w:lang w:val="es-ES" w:eastAsia="es-BO"/>
        </w:rPr>
        <w:t>Joaquin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documentación que no fue presentada en las Pericias de Campo, que si bien cursan en obrados, serían aquellas que fueron anuladas; por lo que, el INRA no debió fundar su decisión en un obrado que fue anulado, asimismo, refiere que existe otra irregularidad con relación al documento de 25 de octubre de 2010, pues al no haber considerado el documento privado de compra y venta de 1994, con el cual se desvirtúa la tradición civil, así como de la lectura del Informe de Emisión de Títulos Ejecutoriales de 14 de agosto de 2015, correspondiente al antecedente agrario N° 140787, del cual se advierte que Joaquín Eguez París, no fue el único propietario, existiendo otras 12 personas con derecho propietario, por lo que el documento de transferencia efectuada por Joaquín Eguez París, no debió ser considerado, toda vez que, no existía tradición civil.</w:t>
      </w:r>
    </w:p>
    <w:p w14:paraId="2176559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De otra parte, por Informe Técnico DGS-JRLL-SC-NORTE N°531/2012, de 22 de junio de 2012, recomienda la consolidación de 5,000.0000 ha a favor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Noriko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Kuniyoshi</w:t>
      </w:r>
      <w:proofErr w:type="spellEnd"/>
      <w:r w:rsidRPr="00CE0B87">
        <w:rPr>
          <w:rFonts w:ascii="Arial" w:eastAsia="Times New Roman" w:hAnsi="Arial" w:cs="Arial"/>
          <w:color w:val="000000"/>
          <w:sz w:val="24"/>
          <w:szCs w:val="24"/>
          <w:lang w:val="es-ES" w:eastAsia="es-BO"/>
        </w:rPr>
        <w:t xml:space="preserve">,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y </w:t>
      </w:r>
      <w:proofErr w:type="spellStart"/>
      <w:r w:rsidRPr="00CE0B87">
        <w:rPr>
          <w:rFonts w:ascii="Arial" w:eastAsia="Times New Roman" w:hAnsi="Arial" w:cs="Arial"/>
          <w:color w:val="000000"/>
          <w:sz w:val="24"/>
          <w:szCs w:val="24"/>
          <w:lang w:val="es-ES" w:eastAsia="es-BO"/>
        </w:rPr>
        <w:t>Joaquin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lineamiento similar se definió en el Informe en Conclusiones de 30 de octubre de 2015, con lo que se demuestra que el predio "Ayacucho I", fue posterior a las pericias de campo anuladas.</w:t>
      </w:r>
    </w:p>
    <w:p w14:paraId="53BD7B8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cuanto corresponde al predio "Tunuma", señala que el Informe en Conclusiones de 30 de octubre de 2015 e Informe Técnico Legal JRLL-SCN-INF-SAN N° 36/2020 de 14 de febrero de 2020, realizó una incorrecta valoración del expediente agrario denominado "Santa Rita", con Resolución Suprema N° 173563 y Titulo Ejecutorial N° 646632; expediente que fue anulado, hecho que debió ser aclarado por el Informe Técnico INF/VT/GGT/UST/0131-2021 de 21 de octubre de 2021, consecuentemente, el Informe en Conclusiones de 30 de octubre de 2015, e Informe Técnico Legal JRLL-SCN-INF-SAN N° 36/2020 de 14 de febrero de 2020, se observa una falta de análisis de los expedientes agrarios y al haberse reconocido el derecho propietario a favor de los beneficiarios de los predios "Ayacucho", "Ayacucho I” y "Tunuma", se vulneró los arts. 304, 333 y 343 del D.S. N° 29215, por lo que, solicita se disponga la nulidad de la Resolución Suprema 26383 de 07 de julio de 2020.</w:t>
      </w:r>
    </w:p>
    <w:p w14:paraId="2738104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Concluye señalando que, “…</w:t>
      </w:r>
      <w:r w:rsidRPr="00CE0B87">
        <w:rPr>
          <w:rFonts w:ascii="Arial" w:eastAsia="Times New Roman" w:hAnsi="Arial" w:cs="Arial"/>
          <w:i/>
          <w:iCs/>
          <w:color w:val="000000"/>
          <w:sz w:val="24"/>
          <w:szCs w:val="24"/>
          <w:lang w:val="es-ES" w:eastAsia="es-BO"/>
        </w:rPr>
        <w:t>Conforme a los antecedentes descritos, nos allanamos a las consideraciones vertidas por el Viceministerio de Tierras, siendo que los argumentos de la demanda, emergen de la carpeta de saneamiento agrario</w:t>
      </w:r>
      <w:r w:rsidRPr="00CE0B87">
        <w:rPr>
          <w:rFonts w:ascii="Arial" w:eastAsia="Times New Roman" w:hAnsi="Arial" w:cs="Arial"/>
          <w:color w:val="000000"/>
          <w:sz w:val="24"/>
          <w:szCs w:val="24"/>
          <w:lang w:val="es-ES" w:eastAsia="es-BO"/>
        </w:rPr>
        <w:t>…” (sic).</w:t>
      </w:r>
    </w:p>
    <w:p w14:paraId="2CD55CC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En respuesta al punto 4. Incumplimiento de las características de propiedad mediana y empresarial agropecuaria</w:t>
      </w:r>
      <w:r w:rsidRPr="00CE0B87">
        <w:rPr>
          <w:rFonts w:ascii="Arial" w:eastAsia="Times New Roman" w:hAnsi="Arial" w:cs="Arial"/>
          <w:color w:val="000000"/>
          <w:sz w:val="24"/>
          <w:szCs w:val="24"/>
          <w:lang w:val="es-ES" w:eastAsia="es-BO"/>
        </w:rPr>
        <w:t>; a tiempo de describir los antecedentes de saneamiento citados por el demandante, concluye señalando: “…</w:t>
      </w:r>
      <w:r w:rsidRPr="00CE0B87">
        <w:rPr>
          <w:rFonts w:ascii="Arial" w:eastAsia="Times New Roman" w:hAnsi="Arial" w:cs="Arial"/>
          <w:i/>
          <w:iCs/>
          <w:color w:val="000000"/>
          <w:sz w:val="24"/>
          <w:szCs w:val="24"/>
          <w:lang w:val="es-ES" w:eastAsia="es-BO"/>
        </w:rPr>
        <w:t>Al respecto, en concordancia a los antecedentes previamente descritos, solicitamos se compulse debidamente la carpeta de saneamiento, a efecto de su correspondiente resolución</w:t>
      </w:r>
      <w:r w:rsidRPr="00CE0B87">
        <w:rPr>
          <w:rFonts w:ascii="Arial" w:eastAsia="Times New Roman" w:hAnsi="Arial" w:cs="Arial"/>
          <w:color w:val="000000"/>
          <w:sz w:val="24"/>
          <w:szCs w:val="24"/>
          <w:lang w:val="es-ES" w:eastAsia="es-BO"/>
        </w:rPr>
        <w:t>…”</w:t>
      </w:r>
    </w:p>
    <w:p w14:paraId="1054B76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En cuanto al punto 5. Relativo a la carencia de fundamentación, motivación y congruencia de la Resolución Final de Saneamiento, correspondiente a los predios “Ayacucho” “Ayacucho I” y “Tunuma</w:t>
      </w:r>
      <w:r w:rsidRPr="00CE0B87">
        <w:rPr>
          <w:rFonts w:ascii="Arial" w:eastAsia="Times New Roman" w:hAnsi="Arial" w:cs="Arial"/>
          <w:color w:val="000000"/>
          <w:sz w:val="24"/>
          <w:szCs w:val="24"/>
          <w:lang w:val="es-ES" w:eastAsia="es-BO"/>
        </w:rPr>
        <w:t>”; citando textualmente lo argumentado en este punto por la parte actora, invoca como jurisprudencia las SCP 0049/2020-S2 de 17 de marzo, 0450/2012 de 29 de junio, 1414/2013 de 16 de agosto y 0712/2015 de 03 de julio, y refiere que la interposición de la demanda contenciosa administrativa, deviene de una inadecuada valoración del antecedente agrario, por haberse identificado relaciones servidumbrales, fraccionamiento fraudulento e incumplimiento de las características de la propiedad mediana y empresarial agropecuaria, aspecto que habrían ocasionado la falta de congruencia en la Resolución Suprema 26918 de 21 de octubre de 2020.</w:t>
      </w:r>
    </w:p>
    <w:p w14:paraId="24284D8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I.3. Argumentos de los terceros interesados</w:t>
      </w:r>
    </w:p>
    <w:p w14:paraId="3933E3F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I.3.1. </w:t>
      </w:r>
      <w:r w:rsidRPr="00CE0B87">
        <w:rPr>
          <w:rFonts w:ascii="Arial" w:eastAsia="Times New Roman" w:hAnsi="Arial" w:cs="Arial"/>
          <w:color w:val="000000"/>
          <w:sz w:val="24"/>
          <w:szCs w:val="24"/>
          <w:lang w:val="es-ES" w:eastAsia="es-BO"/>
        </w:rPr>
        <w:t>De fs. 142 a 148 de obrados, cursa memorial de contestación a la demanda, </w:t>
      </w:r>
      <w:r w:rsidRPr="00CE0B87">
        <w:rPr>
          <w:rFonts w:ascii="Arial" w:eastAsia="Times New Roman" w:hAnsi="Arial" w:cs="Arial"/>
          <w:color w:val="000000"/>
          <w:sz w:val="24"/>
          <w:szCs w:val="24"/>
          <w:lang w:eastAsia="es-BO"/>
        </w:rPr>
        <w:t>remitido inicialmente vía Buzón Judicial, cursante de fs. 153 a 159, </w:t>
      </w:r>
      <w:r w:rsidRPr="00CE0B87">
        <w:rPr>
          <w:rFonts w:ascii="Arial" w:eastAsia="Times New Roman" w:hAnsi="Arial" w:cs="Arial"/>
          <w:color w:val="000000"/>
          <w:sz w:val="24"/>
          <w:szCs w:val="24"/>
          <w:lang w:val="es-ES" w:eastAsia="es-BO"/>
        </w:rPr>
        <w:t>presentado por el </w:t>
      </w:r>
      <w:r w:rsidRPr="00CE0B87">
        <w:rPr>
          <w:rFonts w:ascii="Arial" w:eastAsia="Times New Roman" w:hAnsi="Arial" w:cs="Arial"/>
          <w:b/>
          <w:bCs/>
          <w:i/>
          <w:iCs/>
          <w:color w:val="000000"/>
          <w:sz w:val="24"/>
          <w:szCs w:val="24"/>
          <w:lang w:val="es-ES" w:eastAsia="es-BO"/>
        </w:rPr>
        <w:t>Director Nacional a. i. del INRA</w:t>
      </w:r>
      <w:r w:rsidRPr="00CE0B87">
        <w:rPr>
          <w:rFonts w:ascii="Arial" w:eastAsia="Times New Roman" w:hAnsi="Arial" w:cs="Arial"/>
          <w:color w:val="000000"/>
          <w:sz w:val="24"/>
          <w:szCs w:val="24"/>
          <w:lang w:val="es-ES" w:eastAsia="es-BO"/>
        </w:rPr>
        <w:t>, en representación del demandado y a su vez, en su calidad de tercero interesado, bajo los mismos fundamentos ya señalados en su condición de representante legal del codemandado, Presidente del Estado Plurinacional de Bolivia, por lo que no corresponde reiterar los mismos.</w:t>
      </w:r>
    </w:p>
    <w:p w14:paraId="16BCD74B" w14:textId="6A0581E6"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I.3.2. </w:t>
      </w:r>
      <w:r w:rsidRPr="00CE0B87">
        <w:rPr>
          <w:rFonts w:ascii="Arial" w:eastAsia="Times New Roman" w:hAnsi="Arial" w:cs="Arial"/>
          <w:color w:val="000000"/>
          <w:sz w:val="24"/>
          <w:szCs w:val="24"/>
          <w:lang w:val="es-ES" w:eastAsia="es-BO"/>
        </w:rPr>
        <w:t>De fs. 413 a 417 de obrados, cursa memorial de apersonamiento de </w:t>
      </w:r>
      <w:r w:rsidRPr="00CE0B87">
        <w:rPr>
          <w:rFonts w:ascii="Arial" w:eastAsia="Times New Roman" w:hAnsi="Arial" w:cs="Arial"/>
          <w:b/>
          <w:bCs/>
          <w:color w:val="000000"/>
          <w:sz w:val="24"/>
          <w:szCs w:val="24"/>
          <w:lang w:val="es-ES" w:eastAsia="es-BO"/>
        </w:rPr>
        <w:t>Randolfo Saravia Flores</w:t>
      </w:r>
      <w:r w:rsidRPr="00CE0B87">
        <w:rPr>
          <w:rFonts w:ascii="Arial" w:eastAsia="Times New Roman" w:hAnsi="Arial" w:cs="Arial"/>
          <w:color w:val="000000"/>
          <w:sz w:val="24"/>
          <w:szCs w:val="24"/>
          <w:lang w:val="es-ES" w:eastAsia="es-BO"/>
        </w:rPr>
        <w:t>, quien </w:t>
      </w:r>
      <w:r w:rsidRPr="00CE0B87">
        <w:rPr>
          <w:rFonts w:ascii="Arial" w:eastAsia="Times New Roman" w:hAnsi="Arial" w:cs="Arial"/>
          <w:b/>
          <w:bCs/>
          <w:color w:val="000000"/>
          <w:sz w:val="24"/>
          <w:szCs w:val="24"/>
          <w:lang w:val="es-ES" w:eastAsia="es-BO"/>
        </w:rPr>
        <w:t>solicitando </w:t>
      </w:r>
      <w:r w:rsidRPr="00CE0B87">
        <w:rPr>
          <w:rFonts w:ascii="Arial" w:eastAsia="Times New Roman" w:hAnsi="Arial" w:cs="Arial"/>
          <w:color w:val="000000"/>
          <w:sz w:val="24"/>
          <w:szCs w:val="24"/>
          <w:lang w:val="es-ES" w:eastAsia="es-BO"/>
        </w:rPr>
        <w:t>se declare improbada la demanda y se mantenga subsistente la Resolución Suprema 26918 de 21 de octubre de 2020, contesta a la demanda en los siguientes términos:</w:t>
      </w:r>
    </w:p>
    <w:p w14:paraId="659C0EF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Refiere que, si bien es cierto que los fundamentos contenidos en los numerales V.1, V.2, y V.4, de la demanda, no hacen referencia a la propiedad Tunuma, los términos de su redacción expresan una entelequia que no es verosímil a la luz de la Norma Constitucional, Agraria y su reglamentación, porque tanto el predio “Ayacucho”, “Ayacucho I”, y “Tunuma” son unidades productivas ganaderas independientes, que </w:t>
      </w:r>
      <w:r w:rsidRPr="00CE0B87">
        <w:rPr>
          <w:rFonts w:ascii="Arial" w:eastAsia="Times New Roman" w:hAnsi="Arial" w:cs="Arial"/>
          <w:color w:val="000000"/>
          <w:sz w:val="24"/>
          <w:szCs w:val="24"/>
          <w:lang w:val="es-ES" w:eastAsia="es-BO"/>
        </w:rPr>
        <w:lastRenderedPageBreak/>
        <w:t>pueden compartir antecedentes agrarios, puesto que el saneamiento tiene por objeto regularizar y perfeccionar el derecho de propiedad y posesión agraria, por lo que no es correcto en derecho suponer que los errores de contabilidad en planillas internas de pago, constituyan relaciones servidumbrales, menos las transferencias constituyan tráfico de tierras, porque no se tratan de tierras fiscales o colectivas, tampoco fraudulentas, porque no se evadió el cumplimiento de la FES a FS; asimismo, refiere que la legalidad del origen del derecho, el cumplimiento de la FES, la inexistencia de conflictos, el reconocimiento de la vecindad y finalmente, la convalidación de los actuados por parte de los controles sociales, presentes durante el trabajo de campo, evidencian que no existen razones fundadas para plantear la demanda en cuestión.</w:t>
      </w:r>
    </w:p>
    <w:p w14:paraId="2EF6245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otra parte, con relación a los fundamentos de la demanda, que afectan directamente al predio “Tunuma”, descritos en los numerales V.3. y V.5., expresa lo siguiente:</w:t>
      </w:r>
    </w:p>
    <w:p w14:paraId="33DC1F6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a)</w:t>
      </w:r>
      <w:r w:rsidRPr="00CE0B87">
        <w:rPr>
          <w:rFonts w:ascii="Arial" w:eastAsia="Times New Roman" w:hAnsi="Arial" w:cs="Arial"/>
          <w:color w:val="000000"/>
          <w:sz w:val="24"/>
          <w:szCs w:val="24"/>
          <w:lang w:val="es-ES" w:eastAsia="es-BO"/>
        </w:rPr>
        <w:t> Con respecto a la</w:t>
      </w:r>
      <w:r w:rsidRPr="00CE0B87">
        <w:rPr>
          <w:rFonts w:ascii="Arial" w:eastAsia="Times New Roman" w:hAnsi="Arial" w:cs="Arial"/>
          <w:b/>
          <w:bCs/>
          <w:color w:val="000000"/>
          <w:sz w:val="24"/>
          <w:szCs w:val="24"/>
          <w:lang w:val="es-ES" w:eastAsia="es-BO"/>
        </w:rPr>
        <w:t> mala valoración de los expedientes agrarios,</w:t>
      </w:r>
      <w:r w:rsidRPr="00CE0B87">
        <w:rPr>
          <w:rFonts w:ascii="Arial" w:eastAsia="Times New Roman" w:hAnsi="Arial" w:cs="Arial"/>
          <w:color w:val="000000"/>
          <w:sz w:val="24"/>
          <w:szCs w:val="24"/>
          <w:lang w:val="es-ES" w:eastAsia="es-BO"/>
        </w:rPr>
        <w:t xml:space="preserve"> la parte actora indica que, las ventas que le hizo su extinto padre, de dos fracciones de su unidad productiva ganadera “Santa Rita”, serían ventas fraudulentas y </w:t>
      </w:r>
      <w:proofErr w:type="spellStart"/>
      <w:r w:rsidRPr="00CE0B87">
        <w:rPr>
          <w:rFonts w:ascii="Arial" w:eastAsia="Times New Roman" w:hAnsi="Arial" w:cs="Arial"/>
          <w:color w:val="000000"/>
          <w:sz w:val="24"/>
          <w:szCs w:val="24"/>
          <w:lang w:val="es-ES" w:eastAsia="es-BO"/>
        </w:rPr>
        <w:t>estelionatarias</w:t>
      </w:r>
      <w:proofErr w:type="spellEnd"/>
      <w:r w:rsidRPr="00CE0B87">
        <w:rPr>
          <w:rFonts w:ascii="Arial" w:eastAsia="Times New Roman" w:hAnsi="Arial" w:cs="Arial"/>
          <w:color w:val="000000"/>
          <w:sz w:val="24"/>
          <w:szCs w:val="24"/>
          <w:lang w:val="es-ES" w:eastAsia="es-BO"/>
        </w:rPr>
        <w:t xml:space="preserve">, empero no se indica en qué consistiría el fraude, quién sería la víctima del fraude, cuál sería la verdad que habría sido distorsionada por su persona, asimismo, señala que calificar las ventas como </w:t>
      </w:r>
      <w:proofErr w:type="spellStart"/>
      <w:r w:rsidRPr="00CE0B87">
        <w:rPr>
          <w:rFonts w:ascii="Arial" w:eastAsia="Times New Roman" w:hAnsi="Arial" w:cs="Arial"/>
          <w:color w:val="000000"/>
          <w:sz w:val="24"/>
          <w:szCs w:val="24"/>
          <w:lang w:val="es-ES" w:eastAsia="es-BO"/>
        </w:rPr>
        <w:t>estelionatarias</w:t>
      </w:r>
      <w:proofErr w:type="spellEnd"/>
      <w:r w:rsidRPr="00CE0B87">
        <w:rPr>
          <w:rFonts w:ascii="Arial" w:eastAsia="Times New Roman" w:hAnsi="Arial" w:cs="Arial"/>
          <w:color w:val="000000"/>
          <w:sz w:val="24"/>
          <w:szCs w:val="24"/>
          <w:lang w:val="es-ES" w:eastAsia="es-BO"/>
        </w:rPr>
        <w:t>, debe tenerse presente que el Estelionato es un delito contenido en el art. 337 del Código Penal.</w:t>
      </w:r>
    </w:p>
    <w:p w14:paraId="1EAE76E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Señala que, la parte actora está desconociendo que una unidad productiva con expediente agrario puede contar con superficie en posesión que extiende la superficie titulada, ello, generado por la fuerza de la realidad productiva, fenómeno que es común en trámites de saneamiento, conforme expresa el art. 274 del Reglamento aprobado por D.S. N° 29215, mismo que además de establecer porcentajes de tolerancia a la superficie titulada, reconoce la posesión de tierras fiscales fuera de la superficie comprendida en los expedientes o títulos de propiedad, concordante con el art. 64 de la Ley N° 1715 y art. 331.II. del D.S. N° 29215, en tal circunstancia, la normativa agraria de saneamiento reconoce unidades productivas compuestas por superficies tituladas y superficies como simple posesión de tierras fiscales, disposiciones legales que según el apersonado son ignoradas por la autoridad demandante.</w:t>
      </w:r>
    </w:p>
    <w:p w14:paraId="26157C9A"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otro lado, refiere que las ventas se encuentran plenamente respaldadas en el art. 309.III. del D.S. N° 29215, que reconoce la sucesión en la posesión al primer ocupante, acreditado en documentos de transferencia, como en el caso de autos, indica y valorados por el ente administrativo.</w:t>
      </w:r>
    </w:p>
    <w:p w14:paraId="2159E84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Menciona que, toda la superficie del predio “Tunuma”, fue considerada como posesión legal de tierras fiscales, en razón de que el INRA, en el Informe en Conclusiones hace referencia a la existencia de una pequeña fracción correspondiente al predio “Santa Rita” y que el referido expediente, ya había sido anulado sin salvar superficies transferidas a terceros, motivo por el cual señala que, estuvo de acuerdo con la calidad de simple poseedor, toda vez que, está acreditada la legalidad y no existiera daño económico al Estado, tampoco posesión simulada de propiedad, más al contrario, se aceptó pagar el 100% de la superficie a los fines de adjudicación, situación que no hubiera sido considerada por la autoridad demandante y en consecuencia, no es cierto y evidente los argumentos de la autoridad referida.</w:t>
      </w:r>
    </w:p>
    <w:p w14:paraId="112FC3F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b) Con relación a la ausencia de fundamentación, motivación y congruencia de la Resolución Impugnada.</w:t>
      </w:r>
    </w:p>
    <w:p w14:paraId="707D4646"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Inicialmente indica que, la jurisprudencia del Tribunal Agroambiental ha entendido que una RFS, en la parte considerativa puede citar informes generados durante el trámite de saneamiento a los fines de no ser reiterativo y ampuloso en su redacción, extrayendo lo siguiente:</w:t>
      </w:r>
    </w:p>
    <w:p w14:paraId="10FDD51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Haber acreditado y demostrado al INRA su legal posesión, por medio de documentos de compra venta, de una persona asentada en esas tierras desde 1969, en virtud a un trámite de dotación del predio “Santa Rita”, expediente agrario N° 20519, hecho respaldado en imágenes satelitales contenidas en el Informe Técnico INF/VT/DGT/UST/0131 – 2021 de 21 de octubre de 2021, instruido por el demandante.</w:t>
      </w:r>
    </w:p>
    <w:p w14:paraId="74E43E9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Haber acreditado cumplimiento de la función económico social, mediante el conteo y verificación de 607 cabezas de ganado mayor y 73 cabezas de ganado menor (bovino) con marca, debidamente inscrita en la asociación de ganaderos de San Rafael; además de mejoras existentes en el predio, como vivienda, corral, brete, aguadas, potreros, etc. y que el pasto sembrado en desmontes sin autorización, se encuentra registrado y bajo los efectos del programa de producción de alimentos dispuesto en la Ley N° 337.</w:t>
      </w:r>
    </w:p>
    <w:p w14:paraId="734267B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En cuanto a la parte resolutiva, refiere que la cita de disposiciones legales que fundamentan la decisión, se puede evidenciar que el numeral 5, dispone la adjudicación del predio “Tunuma” a su persona, misma que indica el cumplimiento de la función económico social y la acreditación de la posesión legal, conforme dispone los arts. 2, 64, 66 y 67.II de la Ley N° 1715 modificada por la Ley N° 3545.</w:t>
      </w:r>
    </w:p>
    <w:p w14:paraId="5591ECA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En ese entendido, manifiesta que la decisión contenida en la Resolución Suprema de referencia, contiene la motivación y fundamentación que es congruente con la </w:t>
      </w:r>
      <w:r w:rsidRPr="00CE0B87">
        <w:rPr>
          <w:rFonts w:ascii="Arial" w:eastAsia="Times New Roman" w:hAnsi="Arial" w:cs="Arial"/>
          <w:color w:val="000000"/>
          <w:sz w:val="24"/>
          <w:szCs w:val="24"/>
          <w:lang w:val="es-ES" w:eastAsia="es-BO"/>
        </w:rPr>
        <w:lastRenderedPageBreak/>
        <w:t>decisión de la adjudicación de 1.846.5688 ha, del predio “Tunuma” y no contradice en nada el principio de verdad material contenida en el art. 180.I de la CPE.</w:t>
      </w:r>
    </w:p>
    <w:p w14:paraId="5A31021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otro lado, con relación a la falta de disgregación del antecedente de “Tunuma” (Santa Rita), vulneró el debido proceso; expresa que, el INRA en el Informe en Conclusiones expone las razones por los cuales no se había considerado el expediente N° 20519, de la propiedad “Santa Rita” y, por ende, la calificación como simple poseedor de TUNUMA, de donde resulta incomprensible tal afirmación de la autoridad demandante.</w:t>
      </w:r>
    </w:p>
    <w:p w14:paraId="252AC989" w14:textId="5E7845AF"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Finalmente refiere que, en la demanda se acude a normas del procedimiento administrativo como son los arts. 27 y 28 de la Ley N° 2341, que hacen referencia al acto administrativo y sus elementos esenciales, que no son aplicables al régimen agrario conforme dispone el art. 3.II, inc.</w:t>
      </w:r>
      <w:r w:rsidR="000C13BD" w:rsidRPr="00CE0B87">
        <w:rPr>
          <w:rFonts w:ascii="Arial" w:eastAsia="Times New Roman" w:hAnsi="Arial" w:cs="Arial"/>
          <w:color w:val="000000"/>
          <w:sz w:val="24"/>
          <w:szCs w:val="24"/>
          <w:lang w:val="es-ES" w:eastAsia="es-BO"/>
        </w:rPr>
        <w:t xml:space="preserve"> </w:t>
      </w:r>
      <w:r w:rsidRPr="00CE0B87">
        <w:rPr>
          <w:rFonts w:ascii="Arial" w:eastAsia="Times New Roman" w:hAnsi="Arial" w:cs="Arial"/>
          <w:color w:val="000000"/>
          <w:sz w:val="24"/>
          <w:szCs w:val="24"/>
          <w:lang w:val="es-ES" w:eastAsia="es-BO"/>
        </w:rPr>
        <w:t>d) de la norma citada precedentemente, incurriendo la autoridad demandante en nuevo error de fundamentación, toda vez que, todos los actuados del saneamiento de su propiedad, se encontrarían plenamente respaldados y regulados en la Ley N° 1715 modificada por la Ley N° 3545 y el D.S. N° 29215 y sus modificaciones, no siendo necesario acudir en supletoriedad al procedimiento administrativo.</w:t>
      </w:r>
    </w:p>
    <w:p w14:paraId="75824CA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I.3.3. </w:t>
      </w:r>
      <w:r w:rsidRPr="00CE0B87">
        <w:rPr>
          <w:rFonts w:ascii="Arial" w:eastAsia="Times New Roman" w:hAnsi="Arial" w:cs="Arial"/>
          <w:color w:val="000000"/>
          <w:sz w:val="24"/>
          <w:szCs w:val="24"/>
          <w:lang w:eastAsia="es-BO"/>
        </w:rPr>
        <w:t>De fs. 515 a 522 de obrados, cursa memorial, remitido inicialmente vía Buzón Judicial, cursante de fs. 497 a 503 de obrados, a través del cual </w:t>
      </w:r>
      <w:r w:rsidRPr="00CE0B87">
        <w:rPr>
          <w:rFonts w:ascii="Arial" w:eastAsia="Times New Roman" w:hAnsi="Arial" w:cs="Arial"/>
          <w:b/>
          <w:bCs/>
          <w:color w:val="000000"/>
          <w:sz w:val="24"/>
          <w:szCs w:val="24"/>
          <w:lang w:eastAsia="es-BO"/>
        </w:rPr>
        <w:t xml:space="preserve">Marianela Méndez Guzmán, en representación de Joaquín </w:t>
      </w:r>
      <w:proofErr w:type="spellStart"/>
      <w:r w:rsidRPr="00CE0B87">
        <w:rPr>
          <w:rFonts w:ascii="Arial" w:eastAsia="Times New Roman" w:hAnsi="Arial" w:cs="Arial"/>
          <w:b/>
          <w:bCs/>
          <w:color w:val="000000"/>
          <w:sz w:val="24"/>
          <w:szCs w:val="24"/>
          <w:lang w:eastAsia="es-BO"/>
        </w:rPr>
        <w:t>Eguez</w:t>
      </w:r>
      <w:proofErr w:type="spellEnd"/>
      <w:r w:rsidRPr="00CE0B87">
        <w:rPr>
          <w:rFonts w:ascii="Arial" w:eastAsia="Times New Roman" w:hAnsi="Arial" w:cs="Arial"/>
          <w:b/>
          <w:bCs/>
          <w:color w:val="000000"/>
          <w:sz w:val="24"/>
          <w:szCs w:val="24"/>
          <w:lang w:eastAsia="es-BO"/>
        </w:rPr>
        <w:t xml:space="preserve"> París</w:t>
      </w:r>
      <w:r w:rsidRPr="00CE0B87">
        <w:rPr>
          <w:rFonts w:ascii="Arial" w:eastAsia="Times New Roman" w:hAnsi="Arial" w:cs="Arial"/>
          <w:color w:val="000000"/>
          <w:sz w:val="24"/>
          <w:szCs w:val="24"/>
          <w:lang w:eastAsia="es-BO"/>
        </w:rPr>
        <w:t>, en virtud al Testimonio N° 768/2021 de 29 de diciembre de 2021, solicita se considere el contenido de su memorial y se declare en Sentencia improbada la demanda y subsistente la Resolución Suprema 26918 de 21 de octubre, bajo los siguientes argumentos:</w:t>
      </w:r>
    </w:p>
    <w:p w14:paraId="22C4AD1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a) </w:t>
      </w:r>
      <w:r w:rsidRPr="00CE0B87">
        <w:rPr>
          <w:rFonts w:ascii="Arial" w:eastAsia="Times New Roman" w:hAnsi="Arial" w:cs="Arial"/>
          <w:color w:val="000000"/>
          <w:sz w:val="24"/>
          <w:szCs w:val="24"/>
          <w:lang w:val="es-ES" w:eastAsia="es-BO"/>
        </w:rPr>
        <w:t>Con relación al </w:t>
      </w:r>
      <w:r w:rsidRPr="00CE0B87">
        <w:rPr>
          <w:rFonts w:ascii="Arial" w:eastAsia="Times New Roman" w:hAnsi="Arial" w:cs="Arial"/>
          <w:b/>
          <w:bCs/>
          <w:color w:val="000000"/>
          <w:sz w:val="24"/>
          <w:szCs w:val="24"/>
          <w:lang w:val="es-ES" w:eastAsia="es-BO"/>
        </w:rPr>
        <w:t>punto 1, </w:t>
      </w:r>
      <w:r w:rsidRPr="00CE0B87">
        <w:rPr>
          <w:rFonts w:ascii="Arial" w:eastAsia="Times New Roman" w:hAnsi="Arial" w:cs="Arial"/>
          <w:color w:val="000000"/>
          <w:sz w:val="24"/>
          <w:szCs w:val="24"/>
          <w:lang w:val="es-ES" w:eastAsia="es-BO"/>
        </w:rPr>
        <w:t>refiere que, ésta afirmación está basada en documentación complementaria errónea en su contenido y no en información real constatada en campo, de otra parte, no se identificó un dato objetivo o real que constituya la posible existencia de servidumbre ni trabajo forzoso en el predio “Ayacucho I”, más al contrario, refiere que el INRA identificó infraestructura no solo productiva, sino vivienda con todas las condiciones básicas y dignas de los trabajadores (fs. 896 inferior, 883 superior).</w:t>
      </w:r>
    </w:p>
    <w:p w14:paraId="6E312B3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Manifiesta que, cuando se realizó el saneamiento, el personal asalariado con el que contaba el referido predio, tenían salarios superiores al mínimo vital vigente en ese entonces (679 bs.), el error formal </w:t>
      </w:r>
      <w:r w:rsidRPr="00CE0B87">
        <w:rPr>
          <w:rFonts w:ascii="Arial" w:eastAsia="Times New Roman" w:hAnsi="Arial" w:cs="Arial"/>
          <w:i/>
          <w:iCs/>
          <w:color w:val="000000"/>
          <w:sz w:val="24"/>
          <w:szCs w:val="24"/>
          <w:lang w:val="es-ES" w:eastAsia="es-BO"/>
        </w:rPr>
        <w:t>ut supra</w:t>
      </w:r>
      <w:r w:rsidRPr="00CE0B87">
        <w:rPr>
          <w:rFonts w:ascii="Arial" w:eastAsia="Times New Roman" w:hAnsi="Arial" w:cs="Arial"/>
          <w:color w:val="000000"/>
          <w:sz w:val="24"/>
          <w:szCs w:val="24"/>
          <w:lang w:val="es-ES" w:eastAsia="es-BO"/>
        </w:rPr>
        <w:t xml:space="preserve"> citado, es en que realizaron planillas en base a recibos de talonarios comunes de adelanto de los trabajadores y no del sueldo total que percibían en ese entonces, siendo que los adelantos serían muy comunes en el trabajador rural, de otra parte, adjunta Declaración Voluntaria de Mauricio Casia Gonzales, según trámite notarial 126/2022 de 04 de mayo de 2022, </w:t>
      </w:r>
      <w:r w:rsidRPr="00CE0B87">
        <w:rPr>
          <w:rFonts w:ascii="Arial" w:eastAsia="Times New Roman" w:hAnsi="Arial" w:cs="Arial"/>
          <w:color w:val="000000"/>
          <w:sz w:val="24"/>
          <w:szCs w:val="24"/>
          <w:lang w:val="es-ES" w:eastAsia="es-BO"/>
        </w:rPr>
        <w:lastRenderedPageBreak/>
        <w:t>quien habría prestado servicios como vaquero encargado en el predio y percibido durante todo el periodo de trabajo la remuneración conforme normativa legal vigente, así como a la conclusión, todos los beneficios sociales y económicos.</w:t>
      </w:r>
    </w:p>
    <w:p w14:paraId="6F52B67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Asimismo, adjunta Declaración Voluntaria de </w:t>
      </w:r>
      <w:proofErr w:type="spellStart"/>
      <w:r w:rsidRPr="00CE0B87">
        <w:rPr>
          <w:rFonts w:ascii="Arial" w:eastAsia="Times New Roman" w:hAnsi="Arial" w:cs="Arial"/>
          <w:color w:val="000000"/>
          <w:sz w:val="24"/>
          <w:szCs w:val="24"/>
          <w:lang w:val="es-ES" w:eastAsia="es-BO"/>
        </w:rPr>
        <w:t>Renan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Yllescas</w:t>
      </w:r>
      <w:proofErr w:type="spellEnd"/>
      <w:r w:rsidRPr="00CE0B87">
        <w:rPr>
          <w:rFonts w:ascii="Arial" w:eastAsia="Times New Roman" w:hAnsi="Arial" w:cs="Arial"/>
          <w:color w:val="000000"/>
          <w:sz w:val="24"/>
          <w:szCs w:val="24"/>
          <w:lang w:val="es-ES" w:eastAsia="es-BO"/>
        </w:rPr>
        <w:t xml:space="preserve"> Gonzales, Veterinario y representante de su mandante en el trabajo de campo, según declaración 97/2023 de 31 de enero de 2023, quien indica haber incurrido en error al consignar montos irreales en documentación presentada al INRA, haciendo constar los montos reales de los salarios de los trabajadores permanentes durante el trabajo de campo, aspecto que debe ser apreciado con sana crítica conforme dispone el art. 815.II del Código Civil, y de acuerdo a los principios de integralidad y de servicio a la sociedad contenidos en el artículo 76 de la Ley N° 1715.</w:t>
      </w:r>
    </w:p>
    <w:p w14:paraId="532FC28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Precisa que, debe tenerse presente que los adelantos son muy comunes en el caso de los trabajadores rurales y no por decisión del empleador, siendo que el caso del predio “Ayacucho” no fue la excepción, por cuanto existieron adelantos que constan en recibos comunes, cuyos montos fueron confundidos en la elaboración de las planillas presentadas.</w:t>
      </w:r>
    </w:p>
    <w:p w14:paraId="6A46D59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Sostiene que, la demanda cita el Reglamento aprobado por D.S. N° 388, sin que exista un indicio real identificado en el predio que configuran la existencia de relaciones servidumbrales conforme dispone el art. 5 del Reglamento mencionado, menos una denuncia realizada por entidad pública o privada, nacional o internacional, los trabajadores o sus familiares.</w:t>
      </w:r>
    </w:p>
    <w:p w14:paraId="3A7DCBB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otra parte, señala que este aspecto no constituye causal suficiente para sostener el incumplimiento de la FES, considerando, sobre todo, el entendimiento otorgado por el Tribunal, al mandato constitucional contenido en el art. 397 de la CPE, al efecto cita la SCP 1430/2014 de 7 de julio, misma que ha sido recogida por las Sentencias del Tribunal Agroambiental como son las S.1 N° 40/2022 de 25 de julio y S.2 N° 067/2022 de 21 de noviembre, entendimientos que contradicen el fundamento de la demanda, que prioriza un error formal de algunos documentos presentados en campo, frente a la verdad material constatada por el INRA en campo.</w:t>
      </w:r>
    </w:p>
    <w:p w14:paraId="06FC0F1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b) </w:t>
      </w:r>
      <w:r w:rsidRPr="00CE0B87">
        <w:rPr>
          <w:rFonts w:ascii="Arial" w:eastAsia="Times New Roman" w:hAnsi="Arial" w:cs="Arial"/>
          <w:color w:val="000000"/>
          <w:sz w:val="24"/>
          <w:szCs w:val="24"/>
          <w:lang w:val="es-ES" w:eastAsia="es-BO"/>
        </w:rPr>
        <w:t>Con relación al punto </w:t>
      </w:r>
      <w:r w:rsidRPr="00CE0B87">
        <w:rPr>
          <w:rFonts w:ascii="Arial" w:eastAsia="Times New Roman" w:hAnsi="Arial" w:cs="Arial"/>
          <w:b/>
          <w:bCs/>
          <w:color w:val="000000"/>
          <w:sz w:val="24"/>
          <w:szCs w:val="24"/>
          <w:lang w:val="es-ES" w:eastAsia="es-BO"/>
        </w:rPr>
        <w:t>2</w:t>
      </w:r>
      <w:r w:rsidRPr="00CE0B87">
        <w:rPr>
          <w:rFonts w:ascii="Arial" w:eastAsia="Times New Roman" w:hAnsi="Arial" w:cs="Arial"/>
          <w:color w:val="000000"/>
          <w:sz w:val="24"/>
          <w:szCs w:val="24"/>
          <w:lang w:val="es-ES" w:eastAsia="es-BO"/>
        </w:rPr>
        <w:t xml:space="preserve">, indica que, el predio “Ayacucho” tiene como antecedente dos trámites agrarios de dotación, </w:t>
      </w:r>
      <w:proofErr w:type="spellStart"/>
      <w:r w:rsidRPr="00CE0B87">
        <w:rPr>
          <w:rFonts w:ascii="Arial" w:eastAsia="Times New Roman" w:hAnsi="Arial" w:cs="Arial"/>
          <w:color w:val="000000"/>
          <w:sz w:val="24"/>
          <w:szCs w:val="24"/>
          <w:lang w:val="es-ES" w:eastAsia="es-BO"/>
        </w:rPr>
        <w:t>Exp</w:t>
      </w:r>
      <w:proofErr w:type="spellEnd"/>
      <w:r w:rsidRPr="00CE0B87">
        <w:rPr>
          <w:rFonts w:ascii="Arial" w:eastAsia="Times New Roman" w:hAnsi="Arial" w:cs="Arial"/>
          <w:color w:val="000000"/>
          <w:sz w:val="24"/>
          <w:szCs w:val="24"/>
          <w:lang w:val="es-ES" w:eastAsia="es-BO"/>
        </w:rPr>
        <w:t xml:space="preserve">. N° 12395 y </w:t>
      </w:r>
      <w:proofErr w:type="spellStart"/>
      <w:r w:rsidRPr="00CE0B87">
        <w:rPr>
          <w:rFonts w:ascii="Arial" w:eastAsia="Times New Roman" w:hAnsi="Arial" w:cs="Arial"/>
          <w:color w:val="000000"/>
          <w:sz w:val="24"/>
          <w:szCs w:val="24"/>
          <w:lang w:val="es-ES" w:eastAsia="es-BO"/>
        </w:rPr>
        <w:t>Exp</w:t>
      </w:r>
      <w:proofErr w:type="spellEnd"/>
      <w:r w:rsidRPr="00CE0B87">
        <w:rPr>
          <w:rFonts w:ascii="Arial" w:eastAsia="Times New Roman" w:hAnsi="Arial" w:cs="Arial"/>
          <w:color w:val="000000"/>
          <w:sz w:val="24"/>
          <w:szCs w:val="24"/>
          <w:lang w:val="es-ES" w:eastAsia="es-BO"/>
        </w:rPr>
        <w:t>. N° 58128, el primero, mediante compra y el segundo, mediante dotación, cuyos antecedentes legales citados, admitía cómoda división, que no alcanzaría la restricción constitucional contenida en los Parágrafos II y III del art. 394, así como del art. 80 del Código Civil.</w:t>
      </w:r>
    </w:p>
    <w:p w14:paraId="0EDC556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Manifiesta que, la venta y división no ha tenido la finalidad de acogerse a beneficios establecidos para la pequeña propiedad, como pagar valor concesional o eludir el </w:t>
      </w:r>
      <w:r w:rsidRPr="00CE0B87">
        <w:rPr>
          <w:rFonts w:ascii="Arial" w:eastAsia="Times New Roman" w:hAnsi="Arial" w:cs="Arial"/>
          <w:color w:val="000000"/>
          <w:sz w:val="24"/>
          <w:szCs w:val="24"/>
          <w:lang w:val="es-ES" w:eastAsia="es-BO"/>
        </w:rPr>
        <w:lastRenderedPageBreak/>
        <w:t>cumplimiento de la FES y acogerse al Función Social, en razón de no haber sido dividida en fracciones iguales o menores a 500 ha, porque los predios “Ayacucho” y “Ayacucho I”, se constituyen en empresas ganaderas por la superficie e inversión en que existe en cada una, de donde no sería evidente la afirmación del demandante respecto de obtener un beneficio indebido de la división del predio “Ayacucho” en dos predios.</w:t>
      </w:r>
    </w:p>
    <w:p w14:paraId="35C60F8A"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otro lado, indica que el demandante cuestiona el Informe Técnico Legal JRLL-SCN INF SAN N° 36/2020 de 14 de febrero de 2020, porque hubiera valorado documentación anulada, indicando que debió limitarse a la presentada en campo, (transferencia de 25 de octubre de 2010), confundiendo la nulidad de los actos administrativos de la nulidad de los documentos públicos o privados, conforme dispone el art. 546 del Código Civil; en ése entendido refiere que, asumir el entendimiento del demandante, sería desconocer el mandato constitucional contenido en el art. 122, además de no tomar en cuenta el carácter social del derecho agrario, contenido en el art. 3 del merituado Reglamento, que entre otras disposiciones describe el inc. g), con relación a la aplicación de la ausencia de formalidad, puesto que no considerar documentación personal que consta en la carpeta de saneamiento, constituye indica un exceso de formalismo que desconoce el carácter social del derecho agrario.</w:t>
      </w:r>
    </w:p>
    <w:p w14:paraId="0A4EEBEA" w14:textId="0537A0AD"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Por otro lado, respecto al cuestionamiento de la falta al consentimiento de otros copropietarios del Título Ejecutorial N° 380522, que hubiera derivado en una venta </w:t>
      </w:r>
      <w:proofErr w:type="spellStart"/>
      <w:r w:rsidRPr="00CE0B87">
        <w:rPr>
          <w:rFonts w:ascii="Arial" w:eastAsia="Times New Roman" w:hAnsi="Arial" w:cs="Arial"/>
          <w:color w:val="000000"/>
          <w:sz w:val="24"/>
          <w:szCs w:val="24"/>
          <w:lang w:val="es-ES" w:eastAsia="es-BO"/>
        </w:rPr>
        <w:t>estelionaria</w:t>
      </w:r>
      <w:proofErr w:type="spellEnd"/>
      <w:r w:rsidRPr="00CE0B87">
        <w:rPr>
          <w:rFonts w:ascii="Arial" w:eastAsia="Times New Roman" w:hAnsi="Arial" w:cs="Arial"/>
          <w:color w:val="000000"/>
          <w:sz w:val="24"/>
          <w:szCs w:val="24"/>
          <w:lang w:val="es-ES" w:eastAsia="es-BO"/>
        </w:rPr>
        <w:t xml:space="preserve"> de su mandante, esta afirmación es contraria a los antecedentes de dotación del expediente 12395 B, dado que la superficie de 2.132 ha, fueron dotadas a favor de Rubén Pedraza Villarroel, mediante Título Ejecutorial individual N° 380522, mientras que una fracción de 600 ha, </w:t>
      </w:r>
      <w:r w:rsidR="006B1506" w:rsidRPr="00CE0B87">
        <w:rPr>
          <w:rFonts w:ascii="Arial" w:eastAsia="Times New Roman" w:hAnsi="Arial" w:cs="Arial"/>
          <w:color w:val="000000"/>
          <w:sz w:val="24"/>
          <w:szCs w:val="24"/>
          <w:lang w:val="es-ES" w:eastAsia="es-BO"/>
        </w:rPr>
        <w:t>más</w:t>
      </w:r>
      <w:r w:rsidRPr="00CE0B87">
        <w:rPr>
          <w:rFonts w:ascii="Arial" w:eastAsia="Times New Roman" w:hAnsi="Arial" w:cs="Arial"/>
          <w:color w:val="000000"/>
          <w:sz w:val="24"/>
          <w:szCs w:val="24"/>
          <w:lang w:val="es-ES" w:eastAsia="es-BO"/>
        </w:rPr>
        <w:t xml:space="preserve"> 100 ha, para urbanización, fue dotada a Antonio Parabas y otros, con el Título Ejecutorial proindiviso N° 380523, en ese entendido agrega señalando que, Rubén Pedraza Villarroel, es el único y exclusivo propietario de la superficie de 2.132 ha y que no existió ventas </w:t>
      </w:r>
      <w:proofErr w:type="spellStart"/>
      <w:r w:rsidRPr="00CE0B87">
        <w:rPr>
          <w:rFonts w:ascii="Arial" w:eastAsia="Times New Roman" w:hAnsi="Arial" w:cs="Arial"/>
          <w:color w:val="000000"/>
          <w:sz w:val="24"/>
          <w:szCs w:val="24"/>
          <w:lang w:val="es-ES" w:eastAsia="es-BO"/>
        </w:rPr>
        <w:t>estelionatarias</w:t>
      </w:r>
      <w:proofErr w:type="spellEnd"/>
      <w:r w:rsidRPr="00CE0B87">
        <w:rPr>
          <w:rFonts w:ascii="Arial" w:eastAsia="Times New Roman" w:hAnsi="Arial" w:cs="Arial"/>
          <w:color w:val="000000"/>
          <w:sz w:val="24"/>
          <w:szCs w:val="24"/>
          <w:lang w:val="es-ES" w:eastAsia="es-BO"/>
        </w:rPr>
        <w:t>, como indica la autoridad demandante.</w:t>
      </w:r>
    </w:p>
    <w:p w14:paraId="10BD2E2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los antecedentes expuestos, arguye que no es evidente que la división del predio “Ayacucho” en dos predios, haya vulnerado alguna norma legal que amerite su nulidad. Asimismo, aduce que la división está permitida y ha sido en empresas ganaderas, que el INRA en el marco del art. 122 Constitucional, solo puede anular sus propios actos administrativos y no documentos suscritos entre privados.</w:t>
      </w:r>
    </w:p>
    <w:p w14:paraId="449F4B5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c) </w:t>
      </w:r>
      <w:r w:rsidRPr="00CE0B87">
        <w:rPr>
          <w:rFonts w:ascii="Arial" w:eastAsia="Times New Roman" w:hAnsi="Arial" w:cs="Arial"/>
          <w:color w:val="000000"/>
          <w:sz w:val="24"/>
          <w:szCs w:val="24"/>
          <w:lang w:val="es-ES" w:eastAsia="es-BO"/>
        </w:rPr>
        <w:t>Con relación al punto</w:t>
      </w:r>
      <w:r w:rsidRPr="00CE0B87">
        <w:rPr>
          <w:rFonts w:ascii="Arial" w:eastAsia="Times New Roman" w:hAnsi="Arial" w:cs="Arial"/>
          <w:b/>
          <w:bCs/>
          <w:color w:val="000000"/>
          <w:sz w:val="24"/>
          <w:szCs w:val="24"/>
          <w:lang w:val="es-ES" w:eastAsia="es-BO"/>
        </w:rPr>
        <w:t> 3, </w:t>
      </w:r>
      <w:r w:rsidRPr="00CE0B87">
        <w:rPr>
          <w:rFonts w:ascii="Arial" w:eastAsia="Times New Roman" w:hAnsi="Arial" w:cs="Arial"/>
          <w:color w:val="000000"/>
          <w:sz w:val="24"/>
          <w:szCs w:val="24"/>
          <w:lang w:val="es-ES" w:eastAsia="es-BO"/>
        </w:rPr>
        <w:t xml:space="preserve">sostiene que la división del predio “Ayacucho” en dos predios, no es un fraccionamiento fraudulento, toda vez que, no existe beneficio indebido, como acogerse a la función social o que la división sería con el fin de </w:t>
      </w:r>
      <w:r w:rsidRPr="00CE0B87">
        <w:rPr>
          <w:rFonts w:ascii="Arial" w:eastAsia="Times New Roman" w:hAnsi="Arial" w:cs="Arial"/>
          <w:color w:val="000000"/>
          <w:sz w:val="24"/>
          <w:szCs w:val="24"/>
          <w:lang w:val="es-ES" w:eastAsia="es-BO"/>
        </w:rPr>
        <w:lastRenderedPageBreak/>
        <w:t>evadir el pago adjudicatario; que independientemente del porcentaje que corresponde del expediente N° 12395 B, al predio “Ayacucho I” o la anulación del expediente 58128, establecidos por la autoridad administrativa, la prevalencia del art. 397 de la CPE, se expresa en los derechos adquiridos con la posesión anterior a 1996.</w:t>
      </w:r>
    </w:p>
    <w:p w14:paraId="2E1AB1B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Refiere que, la autoridad demandante manifiesta que su mandante vendió a los titulares del predio “Ayacucho”, una superficie superior a la adquirida por Rubén Pedraza Villarroel, acusando al Informe en Conclusiones de 30 de octubre de 2015 e Informe Técnico Legal JRLL-SCN-INF-SAN N° 36/2020 de 14 de febrero de 2020, de superfluo con erráticas conclusiones y sugerencia, sin considerar el derecho de su mandante obtenido en dotación según consta en el </w:t>
      </w:r>
      <w:proofErr w:type="spellStart"/>
      <w:r w:rsidRPr="00CE0B87">
        <w:rPr>
          <w:rFonts w:ascii="Arial" w:eastAsia="Times New Roman" w:hAnsi="Arial" w:cs="Arial"/>
          <w:color w:val="000000"/>
          <w:sz w:val="24"/>
          <w:szCs w:val="24"/>
          <w:lang w:val="es-ES" w:eastAsia="es-BO"/>
        </w:rPr>
        <w:t>Exp</w:t>
      </w:r>
      <w:proofErr w:type="spellEnd"/>
      <w:r w:rsidRPr="00CE0B87">
        <w:rPr>
          <w:rFonts w:ascii="Arial" w:eastAsia="Times New Roman" w:hAnsi="Arial" w:cs="Arial"/>
          <w:color w:val="000000"/>
          <w:sz w:val="24"/>
          <w:szCs w:val="24"/>
          <w:lang w:val="es-ES" w:eastAsia="es-BO"/>
        </w:rPr>
        <w:t>. N° 58128, denominado “Ayacucho”, en una superficie de 7003.7850 ha, que, si bien fue anulado por la Resolución Suprema 26918 de 21 de octubre de 2020, el mismo constituiría un antecedente legal que le asigna la calidad de poseedor legal, siendo anterior al 18 de octubre de 1996, en aplicación de la Disposición Transitoria Octava de la Ley 3534 en el art. 264. II del Reglamento aprobado por D.S. 29215.</w:t>
      </w:r>
    </w:p>
    <w:p w14:paraId="512049D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d) </w:t>
      </w:r>
      <w:r w:rsidRPr="00CE0B87">
        <w:rPr>
          <w:rFonts w:ascii="Arial" w:eastAsia="Times New Roman" w:hAnsi="Arial" w:cs="Arial"/>
          <w:color w:val="000000"/>
          <w:sz w:val="24"/>
          <w:szCs w:val="24"/>
          <w:lang w:val="es-ES" w:eastAsia="es-BO"/>
        </w:rPr>
        <w:t>Con relación al punto</w:t>
      </w:r>
      <w:r w:rsidRPr="00CE0B87">
        <w:rPr>
          <w:rFonts w:ascii="Arial" w:eastAsia="Times New Roman" w:hAnsi="Arial" w:cs="Arial"/>
          <w:b/>
          <w:bCs/>
          <w:color w:val="000000"/>
          <w:sz w:val="24"/>
          <w:szCs w:val="24"/>
          <w:lang w:val="es-ES" w:eastAsia="es-BO"/>
        </w:rPr>
        <w:t> 4, </w:t>
      </w:r>
      <w:r w:rsidRPr="00CE0B87">
        <w:rPr>
          <w:rFonts w:ascii="Arial" w:eastAsia="Times New Roman" w:hAnsi="Arial" w:cs="Arial"/>
          <w:color w:val="000000"/>
          <w:sz w:val="24"/>
          <w:szCs w:val="24"/>
          <w:lang w:val="es-ES" w:eastAsia="es-BO"/>
        </w:rPr>
        <w:t>señala que, la autoridad demandante cita algunos actuados de saneamiento, en una perspectiva excesivamente formalista, desconociendo el trabajo en el predio de sus mandantes, que constituye la fuente fundamental para acceder y conservar la propiedad agraria, entendimiento asumido en las Sentencias Agroambientales S.1 N° 40/2022 de 25 de julio y S.2 N° 067/2022 de 21 de noviembre, que se fundan en entendimientos constitucionales específicos, como el contenido en la SCP 1430/2014 de 7 de julio.</w:t>
      </w:r>
    </w:p>
    <w:p w14:paraId="5EBCA15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Con relación a las contradicciones respecto a las planillas de pago y boletas de sueldo, refiere que las mismas han sido aclaradas en el primer punto.</w:t>
      </w:r>
    </w:p>
    <w:p w14:paraId="0585FB8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Respecto al incumplimiento del art. 179 del Reglamento, que refiere que no se hubiera verificado las características de la propiedad, cuando en el caso del predio “Ayacucho”, la producción ganadera y su venta en el mercado, es el principal componente, mismo que fue acreditado y que puede acreditar en cualquier momento, como también el régimen asalariado, por cuatro trabajadores identificados en el trabajo de campo, con contratos de trabajo de 5 años antes de la actividad de campo y sueldos en el marco de la normativa laboral vigente, considerando la aclaración del error en el que incurrió el representante de sus mandantes.</w:t>
      </w:r>
    </w:p>
    <w:p w14:paraId="000ED54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e) </w:t>
      </w:r>
      <w:r w:rsidRPr="00CE0B87">
        <w:rPr>
          <w:rFonts w:ascii="Arial" w:eastAsia="Times New Roman" w:hAnsi="Arial" w:cs="Arial"/>
          <w:color w:val="000000"/>
          <w:sz w:val="24"/>
          <w:szCs w:val="24"/>
          <w:lang w:val="es-ES" w:eastAsia="es-BO"/>
        </w:rPr>
        <w:t>Respecto al punto</w:t>
      </w:r>
      <w:r w:rsidRPr="00CE0B87">
        <w:rPr>
          <w:rFonts w:ascii="Arial" w:eastAsia="Times New Roman" w:hAnsi="Arial" w:cs="Arial"/>
          <w:b/>
          <w:bCs/>
          <w:color w:val="000000"/>
          <w:sz w:val="24"/>
          <w:szCs w:val="24"/>
          <w:lang w:val="es-ES" w:eastAsia="es-BO"/>
        </w:rPr>
        <w:t> 5, </w:t>
      </w:r>
      <w:r w:rsidRPr="00CE0B87">
        <w:rPr>
          <w:rFonts w:ascii="Arial" w:eastAsia="Times New Roman" w:hAnsi="Arial" w:cs="Arial"/>
          <w:color w:val="000000"/>
          <w:sz w:val="24"/>
          <w:szCs w:val="24"/>
          <w:lang w:val="es-ES" w:eastAsia="es-BO"/>
        </w:rPr>
        <w:t xml:space="preserve">sostiene que no es evidente que la Resolución Suprema 26918, sea inmotivada, sin fundamentación e incongruente, sino todo lo contrario, cumple el objeto del saneamiento contenido en el art. 65 de la Ley N° 1715, así </w:t>
      </w:r>
      <w:r w:rsidRPr="00CE0B87">
        <w:rPr>
          <w:rFonts w:ascii="Arial" w:eastAsia="Times New Roman" w:hAnsi="Arial" w:cs="Arial"/>
          <w:color w:val="000000"/>
          <w:sz w:val="24"/>
          <w:szCs w:val="24"/>
          <w:lang w:val="es-ES" w:eastAsia="es-BO"/>
        </w:rPr>
        <w:lastRenderedPageBreak/>
        <w:t>como las finalidades del saneamiento establecidas en el art. 66 de la citada Ley, como los numerales 1, 5 y 6, como son la titulación de tierras que cumplan la función económica social, la anulación de títulos ejecutoriales que no cumplen la función social, la convalidación de los mismos, siempre y cuando cumplan la FES; concluyendo que, no existe causal o vicio insubsanable que amerite la anulación de la Resolución Suprema 26918 de 21 de octubre de 2020.</w:t>
      </w:r>
    </w:p>
    <w:p w14:paraId="541945A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I.3.4. </w:t>
      </w:r>
      <w:r w:rsidRPr="00CE0B87">
        <w:rPr>
          <w:rFonts w:ascii="Arial" w:eastAsia="Times New Roman" w:hAnsi="Arial" w:cs="Arial"/>
          <w:color w:val="000000"/>
          <w:sz w:val="24"/>
          <w:szCs w:val="24"/>
          <w:lang w:val="es-ES" w:eastAsia="es-BO"/>
        </w:rPr>
        <w:t>De fs. 535 a 538 vta. de obrados, cursa memorial de apersonamiento y pronunciamiento a la demanda contencioso administrativa de parte </w:t>
      </w:r>
      <w:proofErr w:type="spellStart"/>
      <w:r w:rsidRPr="00CE0B87">
        <w:rPr>
          <w:rFonts w:ascii="Arial" w:eastAsia="Times New Roman" w:hAnsi="Arial" w:cs="Arial"/>
          <w:b/>
          <w:bCs/>
          <w:color w:val="000000"/>
          <w:sz w:val="24"/>
          <w:szCs w:val="24"/>
          <w:lang w:val="es-ES" w:eastAsia="es-BO"/>
        </w:rPr>
        <w:t>Ayako</w:t>
      </w:r>
      <w:proofErr w:type="spellEnd"/>
      <w:r w:rsidRPr="00CE0B87">
        <w:rPr>
          <w:rFonts w:ascii="Arial" w:eastAsia="Times New Roman" w:hAnsi="Arial" w:cs="Arial"/>
          <w:b/>
          <w:bCs/>
          <w:color w:val="000000"/>
          <w:sz w:val="24"/>
          <w:szCs w:val="24"/>
          <w:lang w:val="es-ES" w:eastAsia="es-BO"/>
        </w:rPr>
        <w:t xml:space="preserve"> Cecilia </w:t>
      </w:r>
      <w:proofErr w:type="spellStart"/>
      <w:r w:rsidRPr="00CE0B87">
        <w:rPr>
          <w:rFonts w:ascii="Arial" w:eastAsia="Times New Roman" w:hAnsi="Arial" w:cs="Arial"/>
          <w:b/>
          <w:bCs/>
          <w:color w:val="000000"/>
          <w:sz w:val="24"/>
          <w:szCs w:val="24"/>
          <w:lang w:val="es-ES" w:eastAsia="es-BO"/>
        </w:rPr>
        <w:t>Kochi</w:t>
      </w:r>
      <w:proofErr w:type="spellEnd"/>
      <w:r w:rsidRPr="00CE0B87">
        <w:rPr>
          <w:rFonts w:ascii="Arial" w:eastAsia="Times New Roman" w:hAnsi="Arial" w:cs="Arial"/>
          <w:b/>
          <w:bCs/>
          <w:color w:val="000000"/>
          <w:sz w:val="24"/>
          <w:szCs w:val="24"/>
          <w:lang w:val="es-ES" w:eastAsia="es-BO"/>
        </w:rPr>
        <w:t xml:space="preserve"> de </w:t>
      </w:r>
      <w:proofErr w:type="spellStart"/>
      <w:r w:rsidRPr="00CE0B87">
        <w:rPr>
          <w:rFonts w:ascii="Arial" w:eastAsia="Times New Roman" w:hAnsi="Arial" w:cs="Arial"/>
          <w:b/>
          <w:bCs/>
          <w:color w:val="000000"/>
          <w:sz w:val="24"/>
          <w:szCs w:val="24"/>
          <w:lang w:val="es-ES" w:eastAsia="es-BO"/>
        </w:rPr>
        <w:t>Maeshiro</w:t>
      </w:r>
      <w:proofErr w:type="spellEnd"/>
      <w:r w:rsidRPr="00CE0B87">
        <w:rPr>
          <w:rFonts w:ascii="Arial" w:eastAsia="Times New Roman" w:hAnsi="Arial" w:cs="Arial"/>
          <w:b/>
          <w:bCs/>
          <w:color w:val="000000"/>
          <w:sz w:val="24"/>
          <w:szCs w:val="24"/>
          <w:lang w:val="es-ES" w:eastAsia="es-BO"/>
        </w:rPr>
        <w:t xml:space="preserve"> y Diana </w:t>
      </w:r>
      <w:proofErr w:type="spellStart"/>
      <w:r w:rsidRPr="00CE0B87">
        <w:rPr>
          <w:rFonts w:ascii="Arial" w:eastAsia="Times New Roman" w:hAnsi="Arial" w:cs="Arial"/>
          <w:b/>
          <w:bCs/>
          <w:color w:val="000000"/>
          <w:sz w:val="24"/>
          <w:szCs w:val="24"/>
          <w:lang w:val="es-ES" w:eastAsia="es-BO"/>
        </w:rPr>
        <w:t>Maeshiro</w:t>
      </w:r>
      <w:proofErr w:type="spellEnd"/>
      <w:r w:rsidRPr="00CE0B87">
        <w:rPr>
          <w:rFonts w:ascii="Arial" w:eastAsia="Times New Roman" w:hAnsi="Arial" w:cs="Arial"/>
          <w:b/>
          <w:bCs/>
          <w:color w:val="000000"/>
          <w:sz w:val="24"/>
          <w:szCs w:val="24"/>
          <w:lang w:val="es-ES" w:eastAsia="es-BO"/>
        </w:rPr>
        <w:t xml:space="preserve"> </w:t>
      </w:r>
      <w:proofErr w:type="spellStart"/>
      <w:r w:rsidRPr="00CE0B87">
        <w:rPr>
          <w:rFonts w:ascii="Arial" w:eastAsia="Times New Roman" w:hAnsi="Arial" w:cs="Arial"/>
          <w:b/>
          <w:bCs/>
          <w:color w:val="000000"/>
          <w:sz w:val="24"/>
          <w:szCs w:val="24"/>
          <w:lang w:val="es-ES" w:eastAsia="es-BO"/>
        </w:rPr>
        <w:t>Kochi</w:t>
      </w:r>
      <w:proofErr w:type="spellEnd"/>
      <w:r w:rsidRPr="00CE0B87">
        <w:rPr>
          <w:rFonts w:ascii="Arial" w:eastAsia="Times New Roman" w:hAnsi="Arial" w:cs="Arial"/>
          <w:b/>
          <w:bCs/>
          <w:color w:val="000000"/>
          <w:sz w:val="24"/>
          <w:szCs w:val="24"/>
          <w:lang w:val="es-ES" w:eastAsia="es-BO"/>
        </w:rPr>
        <w:t>, representadas legalmente por Raúl Guillermo Almaraz Lobos y Marianela Méndez Guzmán</w:t>
      </w:r>
      <w:r w:rsidRPr="00CE0B87">
        <w:rPr>
          <w:rFonts w:ascii="Arial" w:eastAsia="Times New Roman" w:hAnsi="Arial" w:cs="Arial"/>
          <w:color w:val="000000"/>
          <w:sz w:val="24"/>
          <w:szCs w:val="24"/>
          <w:lang w:val="es-ES" w:eastAsia="es-BO"/>
        </w:rPr>
        <w:t>, en virtud al Testimonio de Poder N° 100/2022 de 01 de febrero e Instrumento Público N° 890/2022 de 11 de mayo, según corresponde, quienes solicitan que en sentencia la demanda sea declarada improbada, consecuentemente, subsistente la Resolución Suprema 26918 de 21 de octubre de 2020, bajo los siguientes argumentos:</w:t>
      </w:r>
    </w:p>
    <w:p w14:paraId="68922CB3"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a)</w:t>
      </w:r>
      <w:r w:rsidRPr="00CE0B87">
        <w:rPr>
          <w:rFonts w:ascii="Arial" w:eastAsia="Times New Roman" w:hAnsi="Arial" w:cs="Arial"/>
          <w:color w:val="000000"/>
          <w:sz w:val="24"/>
          <w:szCs w:val="24"/>
          <w:lang w:val="es-ES" w:eastAsia="es-BO"/>
        </w:rPr>
        <w:t> Con referencia al punto </w:t>
      </w:r>
      <w:r w:rsidRPr="00CE0B87">
        <w:rPr>
          <w:rFonts w:ascii="Arial" w:eastAsia="Times New Roman" w:hAnsi="Arial" w:cs="Arial"/>
          <w:b/>
          <w:bCs/>
          <w:color w:val="000000"/>
          <w:sz w:val="24"/>
          <w:szCs w:val="24"/>
          <w:lang w:val="es-ES" w:eastAsia="es-BO"/>
        </w:rPr>
        <w:t>1,</w:t>
      </w:r>
      <w:r w:rsidRPr="00CE0B87">
        <w:rPr>
          <w:rFonts w:ascii="Arial" w:eastAsia="Times New Roman" w:hAnsi="Arial" w:cs="Arial"/>
          <w:color w:val="000000"/>
          <w:sz w:val="24"/>
          <w:szCs w:val="24"/>
          <w:lang w:val="es-ES" w:eastAsia="es-BO"/>
        </w:rPr>
        <w:t xml:space="preserve"> adjunta la Declaración Voluntaria 125/2022 de 04 de mayo de 2022, realizada por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y la Declaración Voluntaria N° 27/2023 de 02 de febrero de 2023, realizada por Carlos Savilla Romero, con el objeto de demostrar que el primero, en calidad de trabajador, recibió salarios conforme a ley e incluso todos sus beneficios sociales, cuando se extinguió la relación laboral y el segundo, que incurrió al momento de presentar sus planillas que no correspondía a los montos reales que se pagaban a los trabajadores, en ese entendido, al referir que existe un régimen servidumbral, está basada en error y no en información real, constatada en campo.</w:t>
      </w:r>
    </w:p>
    <w:p w14:paraId="4AC9C15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Refiere que, en la etapa de campo del predio “Ayacucho” no se identificó un solo dato objetivo o real que constituya en un indicio de servidumbre, asimismo, señala que el error formal </w:t>
      </w:r>
      <w:r w:rsidRPr="00CE0B87">
        <w:rPr>
          <w:rFonts w:ascii="Arial" w:eastAsia="Times New Roman" w:hAnsi="Arial" w:cs="Arial"/>
          <w:i/>
          <w:iCs/>
          <w:color w:val="000000"/>
          <w:sz w:val="24"/>
          <w:szCs w:val="24"/>
          <w:lang w:val="es-ES" w:eastAsia="es-BO"/>
        </w:rPr>
        <w:t>ut supra</w:t>
      </w:r>
      <w:r w:rsidRPr="00CE0B87">
        <w:rPr>
          <w:rFonts w:ascii="Arial" w:eastAsia="Times New Roman" w:hAnsi="Arial" w:cs="Arial"/>
          <w:color w:val="000000"/>
          <w:sz w:val="24"/>
          <w:szCs w:val="24"/>
          <w:lang w:val="es-ES" w:eastAsia="es-BO"/>
        </w:rPr>
        <w:t xml:space="preserve"> citado, consiste en que se realizaron planillas con base a montos de adelantos registrados en talonarios comunes y no del sueldo total, que este error explica por qué se consigna montos inferiores a los reales y repetidos, que no guardan relación con la verdad material, ya que las planillas y boletas de pago  (una por cada año), figuran montos idénticos e inamovibles para cada uno de los cuatro trabajadores en el periodo de 2013 a 2015, situación desmentida por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quien fue trabajador del predio en cuestión desde el 2010 al 2017</w:t>
      </w:r>
    </w:p>
    <w:p w14:paraId="390C140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Concluye citando textualmente la SCP N° 1430/2014 de 07 de julio, entendimiento que contradice este fundamento de la demanda, que prioriza un error formal de algunos documentos presentados en campo frente a la verdad material constatada por funcionarios del INRA.</w:t>
      </w:r>
    </w:p>
    <w:p w14:paraId="1F694B6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lastRenderedPageBreak/>
        <w:t>b)</w:t>
      </w:r>
      <w:r w:rsidRPr="00CE0B87">
        <w:rPr>
          <w:rFonts w:ascii="Arial" w:eastAsia="Times New Roman" w:hAnsi="Arial" w:cs="Arial"/>
          <w:color w:val="000000"/>
          <w:sz w:val="24"/>
          <w:szCs w:val="24"/>
          <w:lang w:val="es-ES" w:eastAsia="es-BO"/>
        </w:rPr>
        <w:t> Respecto al punto </w:t>
      </w:r>
      <w:r w:rsidRPr="00CE0B87">
        <w:rPr>
          <w:rFonts w:ascii="Arial" w:eastAsia="Times New Roman" w:hAnsi="Arial" w:cs="Arial"/>
          <w:b/>
          <w:bCs/>
          <w:color w:val="000000"/>
          <w:sz w:val="24"/>
          <w:szCs w:val="24"/>
          <w:lang w:val="es-ES" w:eastAsia="es-BO"/>
        </w:rPr>
        <w:t>2,</w:t>
      </w:r>
      <w:r w:rsidRPr="00CE0B87">
        <w:rPr>
          <w:rFonts w:ascii="Arial" w:eastAsia="Times New Roman" w:hAnsi="Arial" w:cs="Arial"/>
          <w:color w:val="000000"/>
          <w:sz w:val="24"/>
          <w:szCs w:val="24"/>
          <w:lang w:val="es-ES" w:eastAsia="es-BO"/>
        </w:rPr>
        <w:t xml:space="preserve"> señala que los documentos de compra y venta que dan lugar a la división del predio “Ayacucho”, no vulneran ninguna norma legal, por lo que no se aplica el art. 269 del D.S. N° 29215, dicho predio se encuentra respaldado en los </w:t>
      </w:r>
      <w:proofErr w:type="spellStart"/>
      <w:r w:rsidRPr="00CE0B87">
        <w:rPr>
          <w:rFonts w:ascii="Arial" w:eastAsia="Times New Roman" w:hAnsi="Arial" w:cs="Arial"/>
          <w:color w:val="000000"/>
          <w:sz w:val="24"/>
          <w:szCs w:val="24"/>
          <w:lang w:val="es-ES" w:eastAsia="es-BO"/>
        </w:rPr>
        <w:t>Exp</w:t>
      </w:r>
      <w:proofErr w:type="spellEnd"/>
      <w:r w:rsidRPr="00CE0B87">
        <w:rPr>
          <w:rFonts w:ascii="Arial" w:eastAsia="Times New Roman" w:hAnsi="Arial" w:cs="Arial"/>
          <w:color w:val="000000"/>
          <w:sz w:val="24"/>
          <w:szCs w:val="24"/>
          <w:lang w:val="es-ES" w:eastAsia="es-BO"/>
        </w:rPr>
        <w:t>. N° 12395 y 58128, que admitía una cómoda división y no se encontraba en el régimen de indivisibilidad a las pequeñas propiedades o tierras tituladas colectivamente.</w:t>
      </w:r>
    </w:p>
    <w:p w14:paraId="257F6A3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Respecto al cuestionamiento que se hace al Informe Técnico Legal JRLL-SCN INF SAN N° 36/2020 de 14 de febrero, por valorar documentación anulada; refiere que, la parte actora confunde la nulidad de los actos administrativos de la nulidad de los documentos públicos y privados, ya que estos últimos solo pueden ser anulados por una autoridad judicial, conforme dispone el art. 546 del Código Civil.</w:t>
      </w:r>
    </w:p>
    <w:p w14:paraId="241B979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Respecto al cuestionamiento a la tradición o sucesión de la posesión, sus mandantes acreditan su calidad de sub adquirentes y actuales poseedores en el marco de lo establecido en el art. 309.III del Reglamento de la materia, asimismo, la parte actora se equivoca al señalar que existe una venta </w:t>
      </w:r>
      <w:proofErr w:type="spellStart"/>
      <w:r w:rsidRPr="00CE0B87">
        <w:rPr>
          <w:rFonts w:ascii="Arial" w:eastAsia="Times New Roman" w:hAnsi="Arial" w:cs="Arial"/>
          <w:color w:val="000000"/>
          <w:sz w:val="24"/>
          <w:szCs w:val="24"/>
          <w:lang w:val="es-ES" w:eastAsia="es-BO"/>
        </w:rPr>
        <w:t>estelionaria</w:t>
      </w:r>
      <w:proofErr w:type="spellEnd"/>
      <w:r w:rsidRPr="00CE0B87">
        <w:rPr>
          <w:rFonts w:ascii="Arial" w:eastAsia="Times New Roman" w:hAnsi="Arial" w:cs="Arial"/>
          <w:color w:val="000000"/>
          <w:sz w:val="24"/>
          <w:szCs w:val="24"/>
          <w:lang w:val="es-ES" w:eastAsia="es-BO"/>
        </w:rPr>
        <w:t xml:space="preserve">, ya que el predio “Ayacucho”, tiene como antecedente el </w:t>
      </w:r>
      <w:proofErr w:type="spellStart"/>
      <w:r w:rsidRPr="00CE0B87">
        <w:rPr>
          <w:rFonts w:ascii="Arial" w:eastAsia="Times New Roman" w:hAnsi="Arial" w:cs="Arial"/>
          <w:color w:val="000000"/>
          <w:sz w:val="24"/>
          <w:szCs w:val="24"/>
          <w:lang w:val="es-ES" w:eastAsia="es-BO"/>
        </w:rPr>
        <w:t>Exp</w:t>
      </w:r>
      <w:proofErr w:type="spellEnd"/>
      <w:r w:rsidRPr="00CE0B87">
        <w:rPr>
          <w:rFonts w:ascii="Arial" w:eastAsia="Times New Roman" w:hAnsi="Arial" w:cs="Arial"/>
          <w:color w:val="000000"/>
          <w:sz w:val="24"/>
          <w:szCs w:val="24"/>
          <w:lang w:val="es-ES" w:eastAsia="es-BO"/>
        </w:rPr>
        <w:t xml:space="preserve">. 12395 B, que es individual y no colectivo y así se desprende de los antecedentes del Título Ejecutorial N° 380522, de Rubén Pedraza Villarroel, menos que exista otro trámite por una superficie mayor de Joaquín Eguez París, contenido en el </w:t>
      </w:r>
      <w:proofErr w:type="spellStart"/>
      <w:r w:rsidRPr="00CE0B87">
        <w:rPr>
          <w:rFonts w:ascii="Arial" w:eastAsia="Times New Roman" w:hAnsi="Arial" w:cs="Arial"/>
          <w:color w:val="000000"/>
          <w:sz w:val="24"/>
          <w:szCs w:val="24"/>
          <w:lang w:val="es-ES" w:eastAsia="es-BO"/>
        </w:rPr>
        <w:t>Exp</w:t>
      </w:r>
      <w:proofErr w:type="spellEnd"/>
      <w:r w:rsidRPr="00CE0B87">
        <w:rPr>
          <w:rFonts w:ascii="Arial" w:eastAsia="Times New Roman" w:hAnsi="Arial" w:cs="Arial"/>
          <w:color w:val="000000"/>
          <w:sz w:val="24"/>
          <w:szCs w:val="24"/>
          <w:lang w:val="es-ES" w:eastAsia="es-BO"/>
        </w:rPr>
        <w:t>. 58128, antecedentes y superficies correctamente valoradas por el INRA.</w:t>
      </w:r>
    </w:p>
    <w:p w14:paraId="5193C8E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último, refiere que el polígono 137, donde se ubica el predio “Ayacucho” es de oficio y no a pedido de parte, en el cual todas las personas interesadas tenían el deber de apersonarse y acreditar su derecho de propiedad o trabajos como las persona consignadas en el Título N° 380523 y no lo hicieron, por lo que en la Resolución Suprema 26918 de 21 de octubre de 2020, en su numeral 2do anula el referido Título Ejecutorial.</w:t>
      </w:r>
    </w:p>
    <w:p w14:paraId="2D90586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c) </w:t>
      </w:r>
      <w:r w:rsidRPr="00CE0B87">
        <w:rPr>
          <w:rFonts w:ascii="Arial" w:eastAsia="Times New Roman" w:hAnsi="Arial" w:cs="Arial"/>
          <w:color w:val="000000"/>
          <w:sz w:val="24"/>
          <w:szCs w:val="24"/>
          <w:lang w:val="es-ES" w:eastAsia="es-BO"/>
        </w:rPr>
        <w:t>Con referencia al punto </w:t>
      </w:r>
      <w:r w:rsidRPr="00CE0B87">
        <w:rPr>
          <w:rFonts w:ascii="Arial" w:eastAsia="Times New Roman" w:hAnsi="Arial" w:cs="Arial"/>
          <w:b/>
          <w:bCs/>
          <w:color w:val="000000"/>
          <w:sz w:val="24"/>
          <w:szCs w:val="24"/>
          <w:lang w:val="es-ES" w:eastAsia="es-BO"/>
        </w:rPr>
        <w:t>3, </w:t>
      </w:r>
      <w:r w:rsidRPr="00CE0B87">
        <w:rPr>
          <w:rFonts w:ascii="Arial" w:eastAsia="Times New Roman" w:hAnsi="Arial" w:cs="Arial"/>
          <w:color w:val="000000"/>
          <w:sz w:val="24"/>
          <w:szCs w:val="24"/>
          <w:lang w:val="es-ES" w:eastAsia="es-BO"/>
        </w:rPr>
        <w:t>indica que, los antecedentes agrarios de los predios “Ayacucho” y “Ayacucho I”, se basan en dos trámites agrarios signados con N° 12395 B (vía compra) y N° 58128 (vía dotación), ambos a nombre de Joaquín Eguez París (antecesor de sus mandantes), es así que el tratamiento que hace el INRA, al respecto, en la Resolución Suprema 26918 de 21 de octubre, es totalmente claro, conforme el objeto y fines del saneamiento, a tal efecto cita los arts. 393 y 397 de la CPE.</w:t>
      </w:r>
    </w:p>
    <w:p w14:paraId="159D6B7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En ese entendido señala que, en el caso del predio “Ayacucho” está acreditada la sucesión de la posesión, conforme establece el art. 309.III del Reglamento agrario, además que las imágenes satelitales acreditan trabajos anteriores, por lo que la eventual anulación de la Resolución Suprema 26918 de 21 de octubre, no es </w:t>
      </w:r>
      <w:r w:rsidRPr="00CE0B87">
        <w:rPr>
          <w:rFonts w:ascii="Arial" w:eastAsia="Times New Roman" w:hAnsi="Arial" w:cs="Arial"/>
          <w:color w:val="000000"/>
          <w:sz w:val="24"/>
          <w:szCs w:val="24"/>
          <w:lang w:val="es-ES" w:eastAsia="es-BO"/>
        </w:rPr>
        <w:lastRenderedPageBreak/>
        <w:t>trascendente y es contrario a los fundamentos constitucionales que rigen a la materia.</w:t>
      </w:r>
    </w:p>
    <w:p w14:paraId="5330CFE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d) </w:t>
      </w:r>
      <w:r w:rsidRPr="00CE0B87">
        <w:rPr>
          <w:rFonts w:ascii="Arial" w:eastAsia="Times New Roman" w:hAnsi="Arial" w:cs="Arial"/>
          <w:color w:val="000000"/>
          <w:sz w:val="24"/>
          <w:szCs w:val="24"/>
          <w:lang w:val="es-ES" w:eastAsia="es-BO"/>
        </w:rPr>
        <w:t>Respecto al punto </w:t>
      </w:r>
      <w:r w:rsidRPr="00CE0B87">
        <w:rPr>
          <w:rFonts w:ascii="Arial" w:eastAsia="Times New Roman" w:hAnsi="Arial" w:cs="Arial"/>
          <w:b/>
          <w:bCs/>
          <w:color w:val="000000"/>
          <w:sz w:val="24"/>
          <w:szCs w:val="24"/>
          <w:lang w:val="es-ES" w:eastAsia="es-BO"/>
        </w:rPr>
        <w:t>4, </w:t>
      </w:r>
      <w:r w:rsidRPr="00CE0B87">
        <w:rPr>
          <w:rFonts w:ascii="Arial" w:eastAsia="Times New Roman" w:hAnsi="Arial" w:cs="Arial"/>
          <w:color w:val="000000"/>
          <w:sz w:val="24"/>
          <w:szCs w:val="24"/>
          <w:lang w:val="es-ES" w:eastAsia="es-BO"/>
        </w:rPr>
        <w:t xml:space="preserve">alega que, la parte actora no puede negar la verdad material verificada en campo y documentada en los formularios de saneamiento, donde se identificó mejoras como pastos cultivados, con variedades y divisiones de potreros, corrales con la infraestructura para hacer un manejo sanitario del hato ganadero, vivienda con todas las instalaciones para los trabajadores, caminos internos, etc., a través de los cuales se evidenciaría que la actividad ganadera en el predio “Ayacucho” se desarrolla con capital suplementario, es una ganadería </w:t>
      </w:r>
      <w:proofErr w:type="spellStart"/>
      <w:r w:rsidRPr="00CE0B87">
        <w:rPr>
          <w:rFonts w:ascii="Arial" w:eastAsia="Times New Roman" w:hAnsi="Arial" w:cs="Arial"/>
          <w:color w:val="000000"/>
          <w:sz w:val="24"/>
          <w:szCs w:val="24"/>
          <w:lang w:val="es-ES" w:eastAsia="es-BO"/>
        </w:rPr>
        <w:t>semi</w:t>
      </w:r>
      <w:proofErr w:type="spellEnd"/>
      <w:r w:rsidRPr="00CE0B87">
        <w:rPr>
          <w:rFonts w:ascii="Arial" w:eastAsia="Times New Roman" w:hAnsi="Arial" w:cs="Arial"/>
          <w:color w:val="000000"/>
          <w:sz w:val="24"/>
          <w:szCs w:val="24"/>
          <w:lang w:val="es-ES" w:eastAsia="es-BO"/>
        </w:rPr>
        <w:t xml:space="preserve"> intensiva, que conlleva medios técnicos modernos, para la limpieza de las pasturas, suplementos para la alimentación de ganado en los saleros, toda vez que, se hace cría en ganadería, que requiere la atención de un veterinario que periódicamente visita a su propiedad, entre otros aspectos, que en su momento se explicaron a funcionarios del INRA, en la etapa de campo, que pasaron desapercibidos por la importancia de la carga animal.</w:t>
      </w:r>
    </w:p>
    <w:p w14:paraId="12A5C88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Manifiesta que, en la etapa de campo, en esa época se identificaron a cuatro trabajadores y en la actualidad son ocho trabajadores y varios contratistas, por la importante cantidad de ganado que se maneja a quienes se renumera su fuerza de trabajo, asimismo, refiere que dicha propiedad ha sido objeto de venta y división, conforme las características contenidas en el art. 41.I núm. 4 de la Ley N° 1715.</w:t>
      </w:r>
    </w:p>
    <w:p w14:paraId="7D0AF8E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 tal efecto, cita como jurisprudencia la SAP S1</w:t>
      </w:r>
      <w:r w:rsidRPr="00CE0B87">
        <w:rPr>
          <w:rFonts w:ascii="Arial" w:eastAsia="Times New Roman" w:hAnsi="Arial" w:cs="Arial"/>
          <w:color w:val="000000"/>
          <w:sz w:val="24"/>
          <w:szCs w:val="24"/>
          <w:vertAlign w:val="superscript"/>
          <w:lang w:val="es-ES" w:eastAsia="es-BO"/>
        </w:rPr>
        <w:t>a</w:t>
      </w:r>
      <w:r w:rsidRPr="00CE0B87">
        <w:rPr>
          <w:rFonts w:ascii="Arial" w:eastAsia="Times New Roman" w:hAnsi="Arial" w:cs="Arial"/>
          <w:color w:val="000000"/>
          <w:sz w:val="24"/>
          <w:szCs w:val="24"/>
          <w:lang w:val="es-ES" w:eastAsia="es-BO"/>
        </w:rPr>
        <w:t> N° 40/2022 de 25 de julio y SAP S2</w:t>
      </w:r>
      <w:r w:rsidRPr="00CE0B87">
        <w:rPr>
          <w:rFonts w:ascii="Arial" w:eastAsia="Times New Roman" w:hAnsi="Arial" w:cs="Arial"/>
          <w:color w:val="000000"/>
          <w:sz w:val="24"/>
          <w:szCs w:val="24"/>
          <w:vertAlign w:val="superscript"/>
          <w:lang w:val="es-ES" w:eastAsia="es-BO"/>
        </w:rPr>
        <w:t>a </w:t>
      </w:r>
      <w:r w:rsidRPr="00CE0B87">
        <w:rPr>
          <w:rFonts w:ascii="Arial" w:eastAsia="Times New Roman" w:hAnsi="Arial" w:cs="Arial"/>
          <w:color w:val="000000"/>
          <w:sz w:val="24"/>
          <w:szCs w:val="24"/>
          <w:lang w:val="es-ES" w:eastAsia="es-BO"/>
        </w:rPr>
        <w:t>N° 67/2022 de 21 de noviembre, fundadas en la SCP N° 1430/2014 de 07 de julio, razonamiento que orienta respecto a la responsabilidad que tiene el Tribunal Agroambiental para impartir justicia y tomar decisiones respecto del patrimonio de las personas, que en el caso de autos refiere que la autoridad demandante limitó su análisis a planillas (erráticas), cuyo contenido no fue corroborado en campo con los trabajadores, que en la etapa de campo se identificaron cuatro trabajadores con condiciones muy dignas, es por esta razón que no existió observaciones de los funcionarios del INRA, en la etapa de campo del predio “Ayacucho” ni de los controles sociales, quienes conversaron con los trabajadores, de lo que se evidenciaría que no es evidente lo aseverado por la parte actora.</w:t>
      </w:r>
    </w:p>
    <w:p w14:paraId="28FB742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e) </w:t>
      </w:r>
      <w:r w:rsidRPr="00CE0B87">
        <w:rPr>
          <w:rFonts w:ascii="Arial" w:eastAsia="Times New Roman" w:hAnsi="Arial" w:cs="Arial"/>
          <w:color w:val="000000"/>
          <w:sz w:val="24"/>
          <w:szCs w:val="24"/>
          <w:lang w:val="es-ES" w:eastAsia="es-BO"/>
        </w:rPr>
        <w:t>Con relación al punto </w:t>
      </w:r>
      <w:r w:rsidRPr="00CE0B87">
        <w:rPr>
          <w:rFonts w:ascii="Arial" w:eastAsia="Times New Roman" w:hAnsi="Arial" w:cs="Arial"/>
          <w:b/>
          <w:bCs/>
          <w:color w:val="000000"/>
          <w:sz w:val="24"/>
          <w:szCs w:val="24"/>
          <w:lang w:val="es-ES" w:eastAsia="es-BO"/>
        </w:rPr>
        <w:t>5, </w:t>
      </w:r>
      <w:r w:rsidRPr="00CE0B87">
        <w:rPr>
          <w:rFonts w:ascii="Arial" w:eastAsia="Times New Roman" w:hAnsi="Arial" w:cs="Arial"/>
          <w:color w:val="000000"/>
          <w:sz w:val="24"/>
          <w:szCs w:val="24"/>
          <w:lang w:val="es-ES" w:eastAsia="es-BO"/>
        </w:rPr>
        <w:t>menciona que, en su memorial emitió pronunciamiento respecto a los puntos de la demanda, conforme corresponde al carácter social que rige la materia, conforme el art. 3 del D.S. N° 29215, así como el principio de integralidad previsto en el art. 76 Ley N° 1715.</w:t>
      </w:r>
    </w:p>
    <w:p w14:paraId="51A506D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Concluye señalando que, no existe razones trascendentes que ameriten la nulidad de la Resolución Suprema N° 26918 de 21 de octubre, más al contrario y con base </w:t>
      </w:r>
      <w:r w:rsidRPr="00CE0B87">
        <w:rPr>
          <w:rFonts w:ascii="Arial" w:eastAsia="Times New Roman" w:hAnsi="Arial" w:cs="Arial"/>
          <w:color w:val="000000"/>
          <w:sz w:val="24"/>
          <w:szCs w:val="24"/>
          <w:lang w:val="es-ES" w:eastAsia="es-BO"/>
        </w:rPr>
        <w:lastRenderedPageBreak/>
        <w:t>a los antecedentes corresponde la emisión del título de propiedad del predio en cuestión.</w:t>
      </w:r>
    </w:p>
    <w:p w14:paraId="43034E4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I.4. Trámite procesal</w:t>
      </w:r>
    </w:p>
    <w:p w14:paraId="70DFB9A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I.4.1. Auto de admisión</w:t>
      </w:r>
    </w:p>
    <w:p w14:paraId="51E2727E" w14:textId="6BC60E09"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 xml:space="preserve">Mediante Auto de 12 de </w:t>
      </w:r>
      <w:r w:rsidR="002A121F" w:rsidRPr="00CE0B87">
        <w:rPr>
          <w:rFonts w:ascii="Arial" w:eastAsia="Times New Roman" w:hAnsi="Arial" w:cs="Arial"/>
          <w:color w:val="000000"/>
          <w:sz w:val="24"/>
          <w:szCs w:val="24"/>
          <w:lang w:eastAsia="es-BO"/>
        </w:rPr>
        <w:t>noviembre</w:t>
      </w:r>
      <w:r w:rsidRPr="00CE0B87">
        <w:rPr>
          <w:rFonts w:ascii="Arial" w:eastAsia="Times New Roman" w:hAnsi="Arial" w:cs="Arial"/>
          <w:color w:val="000000"/>
          <w:sz w:val="24"/>
          <w:szCs w:val="24"/>
          <w:lang w:eastAsia="es-BO"/>
        </w:rPr>
        <w:t xml:space="preserve"> de 2021</w:t>
      </w:r>
      <w:r w:rsidRPr="00CE0B87">
        <w:rPr>
          <w:rFonts w:ascii="Arial" w:eastAsia="Times New Roman" w:hAnsi="Arial" w:cs="Arial"/>
          <w:color w:val="000000"/>
          <w:sz w:val="24"/>
          <w:szCs w:val="24"/>
          <w:lang w:val="es-ES" w:eastAsia="es-BO"/>
        </w:rPr>
        <w:t>, cursante a fs. 67 y vta. de obrados, se admitió la demanda contencioso administrativa que impugna la Resolución Suprema 26918 de 21 de octubre de 2020, </w:t>
      </w:r>
      <w:r w:rsidRPr="00CE0B87">
        <w:rPr>
          <w:rFonts w:ascii="Arial" w:eastAsia="Times New Roman" w:hAnsi="Arial" w:cs="Arial"/>
          <w:color w:val="000000"/>
          <w:sz w:val="24"/>
          <w:szCs w:val="24"/>
          <w:lang w:eastAsia="es-BO"/>
        </w:rPr>
        <w:t xml:space="preserve">para su tramitación en la vía ordinaria de puro derecho, corriéndose en traslado a las  autoridades demandadas; asimismo, se dispuso la notificación de Eulogio Núñez Aramayo, Director Nacional a.i. del INRA,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Randolfo</w:t>
      </w:r>
      <w:proofErr w:type="spellEnd"/>
      <w:r w:rsidRPr="00CE0B87">
        <w:rPr>
          <w:rFonts w:ascii="Arial" w:eastAsia="Times New Roman" w:hAnsi="Arial" w:cs="Arial"/>
          <w:color w:val="000000"/>
          <w:sz w:val="24"/>
          <w:szCs w:val="24"/>
          <w:lang w:eastAsia="es-BO"/>
        </w:rPr>
        <w:t xml:space="preserve"> Saravia Flores a objeto de que intervengan en calidad de terceros interesados y dentro del plazo establecido por ley contesten la demanda.</w:t>
      </w:r>
    </w:p>
    <w:p w14:paraId="774F2D6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I.4.2. Réplica y dúplica </w:t>
      </w:r>
      <w:r w:rsidRPr="00CE0B87">
        <w:rPr>
          <w:rFonts w:ascii="Arial" w:eastAsia="Times New Roman" w:hAnsi="Arial" w:cs="Arial"/>
          <w:color w:val="000000"/>
          <w:sz w:val="24"/>
          <w:szCs w:val="24"/>
          <w:lang w:val="es-ES" w:eastAsia="es-BO"/>
        </w:rPr>
        <w:t> </w:t>
      </w:r>
    </w:p>
    <w:p w14:paraId="338DBC4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Que, mediante memorial a fs. 170 y vta. y 172 y vta. de obrados, la parte actora ejerce su derecho a </w:t>
      </w:r>
      <w:r w:rsidRPr="00CE0B87">
        <w:rPr>
          <w:rFonts w:ascii="Arial" w:eastAsia="Times New Roman" w:hAnsi="Arial" w:cs="Arial"/>
          <w:b/>
          <w:bCs/>
          <w:i/>
          <w:iCs/>
          <w:color w:val="000000"/>
          <w:sz w:val="24"/>
          <w:szCs w:val="24"/>
          <w:lang w:eastAsia="es-BO"/>
        </w:rPr>
        <w:t>réplica</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respecto a la contestación de los codemandados Presidente del Estado Plurinacional de Bolivia y Ministro de Desarrollo Rural y Tierras, según corresponde</w:t>
      </w:r>
      <w:r w:rsidRPr="00CE0B87">
        <w:rPr>
          <w:rFonts w:ascii="Arial" w:eastAsia="Times New Roman" w:hAnsi="Arial" w:cs="Arial"/>
          <w:color w:val="000000"/>
          <w:sz w:val="24"/>
          <w:szCs w:val="24"/>
          <w:lang w:eastAsia="es-BO"/>
        </w:rPr>
        <w:t>, cuyos memoriales de manera coincidente expresan los mismos argumentos, concluyendo que, no habiéndose desvirtuado los elementos esenciales de la demanda, se ratifican plenamente a la misma ante el allanamiento tácito de los codemandados.</w:t>
      </w:r>
    </w:p>
    <w:p w14:paraId="5F7C02E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Que, la autoridad codemandada, ministro de Desarrollo Rural y Tierras, mediante memorial cursante a fs. 286 y vta. de obrados, presenta </w:t>
      </w:r>
      <w:r w:rsidRPr="00CE0B87">
        <w:rPr>
          <w:rFonts w:ascii="Arial" w:eastAsia="Times New Roman" w:hAnsi="Arial" w:cs="Arial"/>
          <w:b/>
          <w:bCs/>
          <w:i/>
          <w:iCs/>
          <w:color w:val="000000"/>
          <w:sz w:val="24"/>
          <w:szCs w:val="24"/>
          <w:lang w:val="es-ES" w:eastAsia="es-BO"/>
        </w:rPr>
        <w:t>dúplica</w:t>
      </w:r>
      <w:r w:rsidRPr="00CE0B87">
        <w:rPr>
          <w:rFonts w:ascii="Arial" w:eastAsia="Times New Roman" w:hAnsi="Arial" w:cs="Arial"/>
          <w:color w:val="000000"/>
          <w:sz w:val="24"/>
          <w:szCs w:val="24"/>
          <w:lang w:val="es-ES" w:eastAsia="es-BO"/>
        </w:rPr>
        <w:t>, ratificándose in extenso en el memorial de contestación.</w:t>
      </w:r>
    </w:p>
    <w:p w14:paraId="3388F47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Que, la autoridad codemandada, el Director Nacional </w:t>
      </w:r>
      <w:proofErr w:type="spellStart"/>
      <w:r w:rsidRPr="00CE0B87">
        <w:rPr>
          <w:rFonts w:ascii="Arial" w:eastAsia="Times New Roman" w:hAnsi="Arial" w:cs="Arial"/>
          <w:color w:val="000000"/>
          <w:sz w:val="24"/>
          <w:szCs w:val="24"/>
          <w:lang w:val="es-ES" w:eastAsia="es-BO"/>
        </w:rPr>
        <w:t>a.i.</w:t>
      </w:r>
      <w:proofErr w:type="spellEnd"/>
      <w:r w:rsidRPr="00CE0B87">
        <w:rPr>
          <w:rFonts w:ascii="Arial" w:eastAsia="Times New Roman" w:hAnsi="Arial" w:cs="Arial"/>
          <w:color w:val="000000"/>
          <w:sz w:val="24"/>
          <w:szCs w:val="24"/>
          <w:lang w:val="es-ES" w:eastAsia="es-BO"/>
        </w:rPr>
        <w:t xml:space="preserve"> del INRA en representación legal del Presidente del Estado Plurinacional de Bolivia, mediante memorial cursante a fs. 291 de obrados, presentó </w:t>
      </w:r>
      <w:r w:rsidRPr="00CE0B87">
        <w:rPr>
          <w:rFonts w:ascii="Arial" w:eastAsia="Times New Roman" w:hAnsi="Arial" w:cs="Arial"/>
          <w:b/>
          <w:bCs/>
          <w:i/>
          <w:iCs/>
          <w:color w:val="000000"/>
          <w:sz w:val="24"/>
          <w:szCs w:val="24"/>
          <w:lang w:val="es-ES" w:eastAsia="es-BO"/>
        </w:rPr>
        <w:t>dúplica</w:t>
      </w:r>
      <w:r w:rsidRPr="00CE0B87">
        <w:rPr>
          <w:rFonts w:ascii="Arial" w:eastAsia="Times New Roman" w:hAnsi="Arial" w:cs="Arial"/>
          <w:color w:val="000000"/>
          <w:sz w:val="24"/>
          <w:szCs w:val="24"/>
          <w:lang w:val="es-ES" w:eastAsia="es-BO"/>
        </w:rPr>
        <w:t>, ratificándose in extenso en la fundamentación y argumentación del memorial de contestación.</w:t>
      </w:r>
    </w:p>
    <w:p w14:paraId="2818810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I.4.3. Incidente y Reposición</w:t>
      </w:r>
    </w:p>
    <w:p w14:paraId="4F1AE207" w14:textId="1056D736"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 xml:space="preserve">A través del Auto Interlocutorio </w:t>
      </w:r>
      <w:r w:rsidR="000653E0" w:rsidRPr="00CE0B87">
        <w:rPr>
          <w:rFonts w:ascii="Arial" w:eastAsia="Times New Roman" w:hAnsi="Arial" w:cs="Arial"/>
          <w:color w:val="000000"/>
          <w:sz w:val="24"/>
          <w:szCs w:val="24"/>
          <w:lang w:eastAsia="es-BO"/>
        </w:rPr>
        <w:t>N° 31/2023 de 10 de marzo</w:t>
      </w:r>
      <w:r w:rsidRPr="00CE0B87">
        <w:rPr>
          <w:rFonts w:ascii="Arial" w:eastAsia="Times New Roman" w:hAnsi="Arial" w:cs="Arial"/>
          <w:color w:val="000000"/>
          <w:sz w:val="24"/>
          <w:szCs w:val="24"/>
          <w:lang w:eastAsia="es-BO"/>
        </w:rPr>
        <w:t>, cursante de fs. 555 a 559 de obrados, se dispuso: “…</w:t>
      </w:r>
      <w:r w:rsidRPr="00CE0B87">
        <w:rPr>
          <w:rFonts w:ascii="Arial" w:eastAsia="Times New Roman" w:hAnsi="Arial" w:cs="Arial"/>
          <w:b/>
          <w:bCs/>
          <w:i/>
          <w:iCs/>
          <w:color w:val="000000"/>
          <w:sz w:val="24"/>
          <w:szCs w:val="24"/>
          <w:lang w:eastAsia="es-BO"/>
        </w:rPr>
        <w:t>1.- NO HABER LUGAR</w:t>
      </w:r>
      <w:r w:rsidRPr="00CE0B87">
        <w:rPr>
          <w:rFonts w:ascii="Arial" w:eastAsia="Times New Roman" w:hAnsi="Arial" w:cs="Arial"/>
          <w:color w:val="000000"/>
          <w:sz w:val="24"/>
          <w:szCs w:val="24"/>
          <w:lang w:eastAsia="es-BO"/>
        </w:rPr>
        <w:t> </w:t>
      </w:r>
      <w:r w:rsidRPr="00CE0B87">
        <w:rPr>
          <w:rFonts w:ascii="Arial" w:eastAsia="Times New Roman" w:hAnsi="Arial" w:cs="Arial"/>
          <w:i/>
          <w:iCs/>
          <w:color w:val="000000"/>
          <w:sz w:val="24"/>
          <w:szCs w:val="24"/>
          <w:lang w:eastAsia="es-BO"/>
        </w:rPr>
        <w:t xml:space="preserve">a la reposición impetrada por la apoderada del tercero interesado, Joaquín </w:t>
      </w:r>
      <w:proofErr w:type="spellStart"/>
      <w:r w:rsidRPr="00CE0B87">
        <w:rPr>
          <w:rFonts w:ascii="Arial" w:eastAsia="Times New Roman" w:hAnsi="Arial" w:cs="Arial"/>
          <w:i/>
          <w:iCs/>
          <w:color w:val="000000"/>
          <w:sz w:val="24"/>
          <w:szCs w:val="24"/>
          <w:lang w:eastAsia="es-BO"/>
        </w:rPr>
        <w:t>Eguez</w:t>
      </w:r>
      <w:proofErr w:type="spellEnd"/>
      <w:r w:rsidRPr="00CE0B87">
        <w:rPr>
          <w:rFonts w:ascii="Arial" w:eastAsia="Times New Roman" w:hAnsi="Arial" w:cs="Arial"/>
          <w:i/>
          <w:iCs/>
          <w:color w:val="000000"/>
          <w:sz w:val="24"/>
          <w:szCs w:val="24"/>
          <w:lang w:eastAsia="es-BO"/>
        </w:rPr>
        <w:t xml:space="preserve"> París, contra la providencia de 6 de febrero de 2023, cursante a fs. 487 de obrados, confirmándose la misma</w:t>
      </w:r>
      <w:r w:rsidRPr="00CE0B87">
        <w:rPr>
          <w:rFonts w:ascii="Arial" w:eastAsia="Times New Roman" w:hAnsi="Arial" w:cs="Arial"/>
          <w:color w:val="000000"/>
          <w:sz w:val="24"/>
          <w:szCs w:val="24"/>
          <w:lang w:eastAsia="es-BO"/>
        </w:rPr>
        <w:t>…” (sic), bajo el fundamento de que la decisión adoptada por este Tribunal de decretar Autos para Sentencia, responde a los antecedentes del proceso, en tal circunstancia, la providencia de 06 de febrero de 2023, objeto del recurso de reposición fue emitida sin incurrir en error ni aplicación indebida de la ley; </w:t>
      </w:r>
      <w:r w:rsidRPr="00CE0B87">
        <w:rPr>
          <w:rFonts w:ascii="Arial" w:eastAsia="Times New Roman" w:hAnsi="Arial" w:cs="Arial"/>
          <w:b/>
          <w:bCs/>
          <w:i/>
          <w:iCs/>
          <w:color w:val="000000"/>
          <w:sz w:val="24"/>
          <w:szCs w:val="24"/>
          <w:lang w:eastAsia="es-BO"/>
        </w:rPr>
        <w:t>2.- RECHAZAR</w:t>
      </w:r>
      <w:r w:rsidRPr="00CE0B87">
        <w:rPr>
          <w:rFonts w:ascii="Arial" w:eastAsia="Times New Roman" w:hAnsi="Arial" w:cs="Arial"/>
          <w:color w:val="000000"/>
          <w:sz w:val="24"/>
          <w:szCs w:val="24"/>
          <w:lang w:eastAsia="es-BO"/>
        </w:rPr>
        <w:t> </w:t>
      </w:r>
      <w:r w:rsidRPr="00CE0B87">
        <w:rPr>
          <w:rFonts w:ascii="Arial" w:eastAsia="Times New Roman" w:hAnsi="Arial" w:cs="Arial"/>
          <w:i/>
          <w:iCs/>
          <w:color w:val="000000"/>
          <w:sz w:val="24"/>
          <w:szCs w:val="24"/>
          <w:lang w:eastAsia="es-BO"/>
        </w:rPr>
        <w:t xml:space="preserve">el incidente de nulidad de la notificación por cédula cursante a fs. 488 </w:t>
      </w:r>
      <w:r w:rsidRPr="00CE0B87">
        <w:rPr>
          <w:rFonts w:ascii="Arial" w:eastAsia="Times New Roman" w:hAnsi="Arial" w:cs="Arial"/>
          <w:i/>
          <w:iCs/>
          <w:color w:val="000000"/>
          <w:sz w:val="24"/>
          <w:szCs w:val="24"/>
          <w:lang w:eastAsia="es-BO"/>
        </w:rPr>
        <w:lastRenderedPageBreak/>
        <w:t xml:space="preserve">y vta. de obrados, suscitado por la apoderada del tercero interesado, Joaquín </w:t>
      </w:r>
      <w:proofErr w:type="spellStart"/>
      <w:r w:rsidRPr="00CE0B87">
        <w:rPr>
          <w:rFonts w:ascii="Arial" w:eastAsia="Times New Roman" w:hAnsi="Arial" w:cs="Arial"/>
          <w:i/>
          <w:iCs/>
          <w:color w:val="000000"/>
          <w:sz w:val="24"/>
          <w:szCs w:val="24"/>
          <w:lang w:eastAsia="es-BO"/>
        </w:rPr>
        <w:t>Eguez</w:t>
      </w:r>
      <w:proofErr w:type="spellEnd"/>
      <w:r w:rsidRPr="00CE0B87">
        <w:rPr>
          <w:rFonts w:ascii="Arial" w:eastAsia="Times New Roman" w:hAnsi="Arial" w:cs="Arial"/>
          <w:i/>
          <w:iCs/>
          <w:color w:val="000000"/>
          <w:sz w:val="24"/>
          <w:szCs w:val="24"/>
          <w:lang w:eastAsia="es-BO"/>
        </w:rPr>
        <w:t xml:space="preserve"> París, declarando no haber lugar al mismo, quedando subsistente la diligencia de notificación por cédula cursante a fs.488 y vta. de obrados…</w:t>
      </w:r>
      <w:r w:rsidRPr="00CE0B87">
        <w:rPr>
          <w:rFonts w:ascii="Arial" w:eastAsia="Times New Roman" w:hAnsi="Arial" w:cs="Arial"/>
          <w:color w:val="000000"/>
          <w:sz w:val="24"/>
          <w:szCs w:val="24"/>
          <w:lang w:eastAsia="es-BO"/>
        </w:rPr>
        <w:t>” (sic), con el fundamento de que no se advierte vicio o irregularidad alguna que amerite anular la diligencia de notificación por cédula de 13 de febrero de 2023, menos aún haberse vulnerado los principios de seguridad jurídica, legalidad y debido proceso, como arguye el tercero interesado.</w:t>
      </w:r>
    </w:p>
    <w:p w14:paraId="555E036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I.4.4. Decreto de Autos para sentencia y sorteo de la causa.</w:t>
      </w:r>
    </w:p>
    <w:p w14:paraId="12B47C1A"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Por providencia de 06 de febrero de 2023, cursante a fs. 487 de obrados, se decreta Autos para Sentencia.</w:t>
      </w:r>
    </w:p>
    <w:p w14:paraId="3109BF7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Asimismo, mediante Auto N° 31/2023 de 10 de marzo, cursante de fs. 555 a 559 de obrados, dispone en su parte pertinente: “…</w:t>
      </w:r>
      <w:r w:rsidRPr="00CE0B87">
        <w:rPr>
          <w:rFonts w:ascii="Arial" w:eastAsia="Times New Roman" w:hAnsi="Arial" w:cs="Arial"/>
          <w:b/>
          <w:bCs/>
          <w:i/>
          <w:iCs/>
          <w:color w:val="000000"/>
          <w:sz w:val="24"/>
          <w:szCs w:val="24"/>
          <w:lang w:eastAsia="es-BO"/>
        </w:rPr>
        <w:t>3.-</w:t>
      </w:r>
      <w:r w:rsidRPr="00CE0B87">
        <w:rPr>
          <w:rFonts w:ascii="Arial" w:eastAsia="Times New Roman" w:hAnsi="Arial" w:cs="Arial"/>
          <w:i/>
          <w:iCs/>
          <w:color w:val="000000"/>
          <w:sz w:val="24"/>
          <w:szCs w:val="24"/>
          <w:lang w:eastAsia="es-BO"/>
        </w:rPr>
        <w:t> Estando emitido el Decreto de Autos para Sentencia, según consta a fs. 487 de obrados, por Secretaria de Sala Segunda, prosiga con lo que en derecho corresponda para el sorteo del presente proceso</w:t>
      </w:r>
      <w:r w:rsidRPr="00CE0B87">
        <w:rPr>
          <w:rFonts w:ascii="Arial" w:eastAsia="Times New Roman" w:hAnsi="Arial" w:cs="Arial"/>
          <w:color w:val="000000"/>
          <w:sz w:val="24"/>
          <w:szCs w:val="24"/>
          <w:lang w:eastAsia="es-BO"/>
        </w:rPr>
        <w:t>…” (sic)</w:t>
      </w:r>
    </w:p>
    <w:p w14:paraId="5E0255A0" w14:textId="2CF98770" w:rsidR="00820DA6" w:rsidRPr="00CE0B87" w:rsidRDefault="00820DA6" w:rsidP="00CE0B87">
      <w:pPr>
        <w:spacing w:after="0" w:line="360" w:lineRule="auto"/>
        <w:jc w:val="both"/>
        <w:rPr>
          <w:rFonts w:ascii="Arial" w:eastAsia="Times New Roman" w:hAnsi="Arial" w:cs="Arial"/>
          <w:color w:val="000000"/>
          <w:sz w:val="24"/>
          <w:szCs w:val="24"/>
          <w:lang w:eastAsia="es-BO"/>
        </w:rPr>
      </w:pPr>
      <w:r w:rsidRPr="00CE0B87">
        <w:rPr>
          <w:rFonts w:ascii="Arial" w:eastAsia="Times New Roman" w:hAnsi="Arial" w:cs="Arial"/>
          <w:color w:val="000000"/>
          <w:sz w:val="24"/>
          <w:szCs w:val="24"/>
          <w:lang w:eastAsia="es-BO"/>
        </w:rPr>
        <w:t>Que, a fs. 574, cursa decreto de 03 de mayo de 2023, a través del cual se señaló el sorteo de la presente causa para el día 04 de mayo de la presente gestión, habiéndose llevado a cabo el sorteo el día señalado conforme se evidencia a fs. 577 de obrados.</w:t>
      </w:r>
    </w:p>
    <w:p w14:paraId="18C9B0C8" w14:textId="44E5317E" w:rsidR="000653E0" w:rsidRPr="00CE0B87" w:rsidRDefault="000653E0" w:rsidP="00CE0B87">
      <w:pPr>
        <w:spacing w:after="0" w:line="360" w:lineRule="auto"/>
        <w:jc w:val="both"/>
        <w:rPr>
          <w:rFonts w:ascii="Arial" w:hAnsi="Arial" w:cs="Arial"/>
          <w:bCs/>
          <w:sz w:val="24"/>
          <w:szCs w:val="24"/>
          <w:lang w:val="es-ES"/>
        </w:rPr>
      </w:pPr>
      <w:r w:rsidRPr="00CE0B87">
        <w:rPr>
          <w:rFonts w:ascii="Arial" w:hAnsi="Arial" w:cs="Arial"/>
          <w:bCs/>
          <w:sz w:val="24"/>
          <w:szCs w:val="24"/>
          <w:lang w:val="es-ES"/>
        </w:rPr>
        <w:t>Que, habiéndose emitido Sentencia Agroambiental Plurinacional S2</w:t>
      </w:r>
      <w:r w:rsidRPr="00CE0B87">
        <w:rPr>
          <w:rFonts w:ascii="Arial" w:hAnsi="Arial" w:cs="Arial"/>
          <w:bCs/>
          <w:sz w:val="24"/>
          <w:szCs w:val="24"/>
          <w:vertAlign w:val="superscript"/>
          <w:lang w:val="es-ES"/>
        </w:rPr>
        <w:t>a</w:t>
      </w:r>
      <w:r w:rsidRPr="00CE0B87">
        <w:rPr>
          <w:rFonts w:ascii="Arial" w:hAnsi="Arial" w:cs="Arial"/>
          <w:bCs/>
          <w:sz w:val="24"/>
          <w:szCs w:val="24"/>
          <w:lang w:val="es-ES"/>
        </w:rPr>
        <w:t xml:space="preserve"> N° 028/2023 de 13 de junio, cursante de fs. 578 a 610 de obrados, </w:t>
      </w:r>
      <w:proofErr w:type="spellStart"/>
      <w:r w:rsidR="005D0673" w:rsidRPr="00CE0B87">
        <w:rPr>
          <w:rFonts w:ascii="Arial" w:eastAsia="Times New Roman" w:hAnsi="Arial" w:cs="Arial"/>
          <w:color w:val="000000" w:themeColor="text1"/>
          <w:sz w:val="24"/>
          <w:szCs w:val="24"/>
          <w:lang w:val="es-ES" w:eastAsia="es-BO"/>
        </w:rPr>
        <w:t>Ayako</w:t>
      </w:r>
      <w:proofErr w:type="spellEnd"/>
      <w:r w:rsidR="005D0673" w:rsidRPr="00CE0B87">
        <w:rPr>
          <w:rFonts w:ascii="Arial" w:eastAsia="Times New Roman" w:hAnsi="Arial" w:cs="Arial"/>
          <w:color w:val="000000" w:themeColor="text1"/>
          <w:sz w:val="24"/>
          <w:szCs w:val="24"/>
          <w:lang w:val="es-ES" w:eastAsia="es-BO"/>
        </w:rPr>
        <w:t xml:space="preserve"> Cecilia </w:t>
      </w:r>
      <w:proofErr w:type="spellStart"/>
      <w:r w:rsidR="005D0673" w:rsidRPr="00CE0B87">
        <w:rPr>
          <w:rFonts w:ascii="Arial" w:eastAsia="Times New Roman" w:hAnsi="Arial" w:cs="Arial"/>
          <w:color w:val="000000" w:themeColor="text1"/>
          <w:sz w:val="24"/>
          <w:szCs w:val="24"/>
          <w:lang w:val="es-ES" w:eastAsia="es-BO"/>
        </w:rPr>
        <w:t>Kochi</w:t>
      </w:r>
      <w:proofErr w:type="spellEnd"/>
      <w:r w:rsidR="005D0673" w:rsidRPr="00CE0B87">
        <w:rPr>
          <w:rFonts w:ascii="Arial" w:eastAsia="Times New Roman" w:hAnsi="Arial" w:cs="Arial"/>
          <w:color w:val="000000" w:themeColor="text1"/>
          <w:sz w:val="24"/>
          <w:szCs w:val="24"/>
          <w:lang w:val="es-ES" w:eastAsia="es-BO"/>
        </w:rPr>
        <w:t xml:space="preserve"> de Maeshiro y Diana Maeshiro representadas por Alejandro Pemintel Echenique, Fernando Bruno Escobar, Emiliano Hernández Murillo y Luz Marina Iriarte </w:t>
      </w:r>
      <w:proofErr w:type="spellStart"/>
      <w:r w:rsidR="005D0673" w:rsidRPr="00CE0B87">
        <w:rPr>
          <w:rFonts w:ascii="Arial" w:eastAsia="Times New Roman" w:hAnsi="Arial" w:cs="Arial"/>
          <w:color w:val="000000" w:themeColor="text1"/>
          <w:sz w:val="24"/>
          <w:szCs w:val="24"/>
          <w:lang w:val="es-ES" w:eastAsia="es-BO"/>
        </w:rPr>
        <w:t>Abuawad</w:t>
      </w:r>
      <w:proofErr w:type="spellEnd"/>
      <w:r w:rsidRPr="00CE0B87">
        <w:rPr>
          <w:rFonts w:ascii="Arial" w:hAnsi="Arial" w:cs="Arial"/>
          <w:bCs/>
          <w:sz w:val="24"/>
          <w:szCs w:val="24"/>
          <w:lang w:val="es-ES"/>
        </w:rPr>
        <w:t xml:space="preserve">, interpone Acción de Amparo Constitucional, ante la Sala Constitucional </w:t>
      </w:r>
      <w:r w:rsidR="005D0673" w:rsidRPr="00CE0B87">
        <w:rPr>
          <w:rFonts w:ascii="Arial" w:hAnsi="Arial" w:cs="Arial"/>
          <w:bCs/>
          <w:sz w:val="24"/>
          <w:szCs w:val="24"/>
          <w:lang w:val="es-ES"/>
        </w:rPr>
        <w:t>Cuarta</w:t>
      </w:r>
      <w:r w:rsidRPr="00CE0B87">
        <w:rPr>
          <w:rFonts w:ascii="Arial" w:hAnsi="Arial" w:cs="Arial"/>
          <w:bCs/>
          <w:sz w:val="24"/>
          <w:szCs w:val="24"/>
          <w:lang w:val="es-ES"/>
        </w:rPr>
        <w:t xml:space="preserve"> </w:t>
      </w:r>
      <w:r w:rsidRPr="00CE0B87">
        <w:rPr>
          <w:rFonts w:ascii="Arial" w:hAnsi="Arial" w:cs="Arial"/>
          <w:sz w:val="24"/>
          <w:szCs w:val="24"/>
          <w:lang w:val="es-ES"/>
        </w:rPr>
        <w:t xml:space="preserve">del Tribunal Departamental de Justicia de </w:t>
      </w:r>
      <w:r w:rsidR="005D0673" w:rsidRPr="00CE0B87">
        <w:rPr>
          <w:rFonts w:ascii="Arial" w:hAnsi="Arial" w:cs="Arial"/>
          <w:sz w:val="24"/>
          <w:szCs w:val="24"/>
          <w:lang w:val="es-ES"/>
        </w:rPr>
        <w:t>Santa Cruz</w:t>
      </w:r>
      <w:r w:rsidRPr="00CE0B87">
        <w:rPr>
          <w:rFonts w:ascii="Arial" w:hAnsi="Arial" w:cs="Arial"/>
          <w:bCs/>
          <w:sz w:val="24"/>
          <w:szCs w:val="24"/>
          <w:lang w:val="es-ES"/>
        </w:rPr>
        <w:t xml:space="preserve">, misma que emite la Resolución AAC N° </w:t>
      </w:r>
      <w:r w:rsidR="005D0673" w:rsidRPr="00CE0B87">
        <w:rPr>
          <w:rFonts w:ascii="Arial" w:hAnsi="Arial" w:cs="Arial"/>
          <w:bCs/>
          <w:sz w:val="24"/>
          <w:szCs w:val="24"/>
          <w:lang w:val="es-ES"/>
        </w:rPr>
        <w:t>199-2023</w:t>
      </w:r>
      <w:r w:rsidRPr="00CE0B87">
        <w:rPr>
          <w:rFonts w:ascii="Arial" w:hAnsi="Arial" w:cs="Arial"/>
          <w:bCs/>
          <w:sz w:val="24"/>
          <w:szCs w:val="24"/>
          <w:lang w:val="es-ES"/>
        </w:rPr>
        <w:t xml:space="preserve"> (fs. </w:t>
      </w:r>
      <w:r w:rsidR="005D0673" w:rsidRPr="00CE0B87">
        <w:rPr>
          <w:rFonts w:ascii="Arial" w:hAnsi="Arial" w:cs="Arial"/>
          <w:bCs/>
          <w:sz w:val="24"/>
          <w:szCs w:val="24"/>
          <w:lang w:val="es-ES"/>
        </w:rPr>
        <w:t>678</w:t>
      </w:r>
      <w:r w:rsidRPr="00CE0B87">
        <w:rPr>
          <w:rFonts w:ascii="Arial" w:hAnsi="Arial" w:cs="Arial"/>
          <w:bCs/>
          <w:sz w:val="24"/>
          <w:szCs w:val="24"/>
          <w:lang w:val="es-ES"/>
        </w:rPr>
        <w:t xml:space="preserve"> a </w:t>
      </w:r>
      <w:r w:rsidR="005D0673" w:rsidRPr="00CE0B87">
        <w:rPr>
          <w:rFonts w:ascii="Arial" w:hAnsi="Arial" w:cs="Arial"/>
          <w:bCs/>
          <w:sz w:val="24"/>
          <w:szCs w:val="24"/>
          <w:lang w:val="es-ES"/>
        </w:rPr>
        <w:t>704</w:t>
      </w:r>
      <w:r w:rsidRPr="00CE0B87">
        <w:rPr>
          <w:rFonts w:ascii="Arial" w:hAnsi="Arial" w:cs="Arial"/>
          <w:bCs/>
          <w:sz w:val="24"/>
          <w:szCs w:val="24"/>
          <w:lang w:val="es-ES"/>
        </w:rPr>
        <w:t xml:space="preserve">), que concede la tutela y deja sin efecto la resolución agroambiental; en consecuencia, por decreto de </w:t>
      </w:r>
      <w:r w:rsidR="005D0673" w:rsidRPr="00CE0B87">
        <w:rPr>
          <w:rFonts w:ascii="Arial" w:hAnsi="Arial" w:cs="Arial"/>
          <w:bCs/>
          <w:sz w:val="24"/>
          <w:szCs w:val="24"/>
          <w:lang w:val="es-ES"/>
        </w:rPr>
        <w:t>03</w:t>
      </w:r>
      <w:r w:rsidRPr="00CE0B87">
        <w:rPr>
          <w:rFonts w:ascii="Arial" w:hAnsi="Arial" w:cs="Arial"/>
          <w:bCs/>
          <w:sz w:val="24"/>
          <w:szCs w:val="24"/>
          <w:lang w:val="es-ES"/>
        </w:rPr>
        <w:t xml:space="preserve"> de </w:t>
      </w:r>
      <w:r w:rsidR="005D0673" w:rsidRPr="00CE0B87">
        <w:rPr>
          <w:rFonts w:ascii="Arial" w:hAnsi="Arial" w:cs="Arial"/>
          <w:bCs/>
          <w:sz w:val="24"/>
          <w:szCs w:val="24"/>
          <w:lang w:val="es-ES"/>
        </w:rPr>
        <w:t>abril</w:t>
      </w:r>
      <w:r w:rsidRPr="00CE0B87">
        <w:rPr>
          <w:rFonts w:ascii="Arial" w:hAnsi="Arial" w:cs="Arial"/>
          <w:bCs/>
          <w:sz w:val="24"/>
          <w:szCs w:val="24"/>
          <w:lang w:val="es-ES"/>
        </w:rPr>
        <w:t xml:space="preserve"> de 2024, cursante a fs. </w:t>
      </w:r>
      <w:r w:rsidR="005D0673" w:rsidRPr="00CE0B87">
        <w:rPr>
          <w:rFonts w:ascii="Arial" w:hAnsi="Arial" w:cs="Arial"/>
          <w:bCs/>
          <w:sz w:val="24"/>
          <w:szCs w:val="24"/>
          <w:lang w:val="es-ES"/>
        </w:rPr>
        <w:t>707</w:t>
      </w:r>
      <w:r w:rsidRPr="00CE0B87">
        <w:rPr>
          <w:rFonts w:ascii="Arial" w:hAnsi="Arial" w:cs="Arial"/>
          <w:bCs/>
          <w:sz w:val="24"/>
          <w:szCs w:val="24"/>
          <w:lang w:val="es-ES"/>
        </w:rPr>
        <w:t xml:space="preserve"> de obrados, se dispone el sorteo sin espera de turno. </w:t>
      </w:r>
    </w:p>
    <w:p w14:paraId="072085A0" w14:textId="677F049A" w:rsidR="005D0673" w:rsidRPr="00CE0B87" w:rsidRDefault="005D0673" w:rsidP="00CE0B87">
      <w:pPr>
        <w:spacing w:after="0" w:line="360" w:lineRule="auto"/>
        <w:jc w:val="both"/>
        <w:rPr>
          <w:rFonts w:ascii="Arial" w:hAnsi="Arial" w:cs="Arial"/>
          <w:bCs/>
          <w:sz w:val="24"/>
          <w:szCs w:val="24"/>
          <w:lang w:val="es-ES"/>
        </w:rPr>
      </w:pPr>
      <w:r w:rsidRPr="00CE0B87">
        <w:rPr>
          <w:rFonts w:ascii="Arial" w:hAnsi="Arial" w:cs="Arial"/>
          <w:bCs/>
          <w:sz w:val="24"/>
          <w:szCs w:val="24"/>
          <w:lang w:val="es-ES"/>
        </w:rPr>
        <w:t>Consecuentemente, por decreto de 25 de abril de 2024, cursante a fs. 710 de obrados, se señala fecha y hora de sorteo, para el lunes 29 de abril de 2024, realizándose dicho acto procesal en la fecha indicada, conforme se tiene a fs. 713 de obrados; pasando a Despacho de la Magistrado relator.</w:t>
      </w:r>
    </w:p>
    <w:p w14:paraId="05B3014D" w14:textId="6A03C400" w:rsidR="005D0673" w:rsidRPr="00CE0B87" w:rsidRDefault="005D0673" w:rsidP="00CE0B87">
      <w:pPr>
        <w:spacing w:after="0" w:line="360" w:lineRule="auto"/>
        <w:jc w:val="both"/>
        <w:rPr>
          <w:rFonts w:ascii="Arial" w:hAnsi="Arial" w:cs="Arial"/>
          <w:bCs/>
          <w:sz w:val="24"/>
          <w:szCs w:val="24"/>
          <w:lang w:val="es-ES"/>
        </w:rPr>
      </w:pPr>
      <w:r w:rsidRPr="00CE0B87">
        <w:rPr>
          <w:rFonts w:ascii="Arial" w:hAnsi="Arial" w:cs="Arial"/>
          <w:bCs/>
          <w:sz w:val="24"/>
          <w:szCs w:val="24"/>
          <w:lang w:val="es-ES"/>
        </w:rPr>
        <w:t xml:space="preserve">Posteriormente, ante la reconformación de Salas, por Auto de 21 de mayo de 2024, cursante de fs. 719 a 720 vta. de obrados, se deja sin efecto el proveído de 25 de abril de 2024, cursante a fs. 710 y el sorteo de 29 de abril de 2024, cursante a fs. 713 de obrados; disponiendo que se efectué nuevo sorteo; en este sentido, por decreto de </w:t>
      </w:r>
      <w:r w:rsidR="00F60227" w:rsidRPr="00CE0B87">
        <w:rPr>
          <w:rFonts w:ascii="Arial" w:hAnsi="Arial" w:cs="Arial"/>
          <w:bCs/>
          <w:sz w:val="24"/>
          <w:szCs w:val="24"/>
          <w:lang w:val="es-ES"/>
        </w:rPr>
        <w:t>24</w:t>
      </w:r>
      <w:r w:rsidRPr="00CE0B87">
        <w:rPr>
          <w:rFonts w:ascii="Arial" w:hAnsi="Arial" w:cs="Arial"/>
          <w:bCs/>
          <w:sz w:val="24"/>
          <w:szCs w:val="24"/>
          <w:lang w:val="es-ES"/>
        </w:rPr>
        <w:t xml:space="preserve"> de </w:t>
      </w:r>
      <w:r w:rsidR="00F60227" w:rsidRPr="00CE0B87">
        <w:rPr>
          <w:rFonts w:ascii="Arial" w:hAnsi="Arial" w:cs="Arial"/>
          <w:bCs/>
          <w:sz w:val="24"/>
          <w:szCs w:val="24"/>
          <w:lang w:val="es-ES"/>
        </w:rPr>
        <w:t xml:space="preserve">mayo </w:t>
      </w:r>
      <w:r w:rsidRPr="00CE0B87">
        <w:rPr>
          <w:rFonts w:ascii="Arial" w:hAnsi="Arial" w:cs="Arial"/>
          <w:bCs/>
          <w:sz w:val="24"/>
          <w:szCs w:val="24"/>
          <w:lang w:val="es-ES"/>
        </w:rPr>
        <w:t xml:space="preserve">de 2024, cursante a fs. </w:t>
      </w:r>
      <w:r w:rsidR="00F60227" w:rsidRPr="00CE0B87">
        <w:rPr>
          <w:rFonts w:ascii="Arial" w:hAnsi="Arial" w:cs="Arial"/>
          <w:bCs/>
          <w:sz w:val="24"/>
          <w:szCs w:val="24"/>
          <w:lang w:val="es-ES"/>
        </w:rPr>
        <w:t>724</w:t>
      </w:r>
      <w:r w:rsidRPr="00CE0B87">
        <w:rPr>
          <w:rFonts w:ascii="Arial" w:hAnsi="Arial" w:cs="Arial"/>
          <w:bCs/>
          <w:sz w:val="24"/>
          <w:szCs w:val="24"/>
          <w:lang w:val="es-ES"/>
        </w:rPr>
        <w:t xml:space="preserve">, se dispone fecha y hora de </w:t>
      </w:r>
      <w:r w:rsidRPr="00CE0B87">
        <w:rPr>
          <w:rFonts w:ascii="Arial" w:hAnsi="Arial" w:cs="Arial"/>
          <w:bCs/>
          <w:sz w:val="24"/>
          <w:szCs w:val="24"/>
          <w:lang w:val="es-ES"/>
        </w:rPr>
        <w:lastRenderedPageBreak/>
        <w:t>sorteo del expediente, para el lunes 2</w:t>
      </w:r>
      <w:r w:rsidR="00F60227" w:rsidRPr="00CE0B87">
        <w:rPr>
          <w:rFonts w:ascii="Arial" w:hAnsi="Arial" w:cs="Arial"/>
          <w:bCs/>
          <w:sz w:val="24"/>
          <w:szCs w:val="24"/>
          <w:lang w:val="es-ES"/>
        </w:rPr>
        <w:t>7 de mayo</w:t>
      </w:r>
      <w:r w:rsidRPr="00CE0B87">
        <w:rPr>
          <w:rFonts w:ascii="Arial" w:hAnsi="Arial" w:cs="Arial"/>
          <w:bCs/>
          <w:sz w:val="24"/>
          <w:szCs w:val="24"/>
          <w:lang w:val="es-ES"/>
        </w:rPr>
        <w:t xml:space="preserve"> del año en curso, llevándose a cabo dicho acto procesal en la fecha y hora señalada, conforme se tiene a fs. </w:t>
      </w:r>
      <w:r w:rsidR="00F60227" w:rsidRPr="00CE0B87">
        <w:rPr>
          <w:rFonts w:ascii="Arial" w:hAnsi="Arial" w:cs="Arial"/>
          <w:bCs/>
          <w:sz w:val="24"/>
          <w:szCs w:val="24"/>
          <w:lang w:val="es-ES"/>
        </w:rPr>
        <w:t>727</w:t>
      </w:r>
      <w:r w:rsidRPr="00CE0B87">
        <w:rPr>
          <w:rFonts w:ascii="Arial" w:hAnsi="Arial" w:cs="Arial"/>
          <w:bCs/>
          <w:sz w:val="24"/>
          <w:szCs w:val="24"/>
          <w:lang w:val="es-ES"/>
        </w:rPr>
        <w:t xml:space="preserve"> de obrados.</w:t>
      </w:r>
    </w:p>
    <w:p w14:paraId="18B97724" w14:textId="2AD2F11B" w:rsidR="009E59A4" w:rsidRPr="00CE0B87" w:rsidRDefault="009E59A4" w:rsidP="00CE0B87">
      <w:pPr>
        <w:shd w:val="clear" w:color="auto" w:fill="FFFFFF"/>
        <w:spacing w:after="0" w:line="360" w:lineRule="auto"/>
        <w:jc w:val="both"/>
        <w:rPr>
          <w:rFonts w:ascii="Arial" w:hAnsi="Arial" w:cs="Arial"/>
          <w:sz w:val="24"/>
          <w:szCs w:val="24"/>
        </w:rPr>
      </w:pPr>
      <w:r w:rsidRPr="00CE0B87">
        <w:rPr>
          <w:rFonts w:ascii="Arial" w:hAnsi="Arial" w:cs="Arial"/>
          <w:b/>
          <w:bCs/>
          <w:sz w:val="24"/>
          <w:szCs w:val="24"/>
          <w:lang w:val="es-ES"/>
        </w:rPr>
        <w:t>I.4.5. Resolución Constitucional respecto a la Sentencia Agroambiental Plurinacional S2</w:t>
      </w:r>
      <w:r w:rsidRPr="00CE0B87">
        <w:rPr>
          <w:rFonts w:ascii="Arial" w:hAnsi="Arial" w:cs="Arial"/>
          <w:b/>
          <w:bCs/>
          <w:sz w:val="24"/>
          <w:szCs w:val="24"/>
          <w:vertAlign w:val="superscript"/>
          <w:lang w:val="es-ES"/>
        </w:rPr>
        <w:t>a</w:t>
      </w:r>
      <w:r w:rsidRPr="00CE0B87">
        <w:rPr>
          <w:rFonts w:ascii="Arial" w:hAnsi="Arial" w:cs="Arial"/>
          <w:b/>
          <w:bCs/>
          <w:sz w:val="24"/>
          <w:szCs w:val="24"/>
          <w:lang w:val="es-ES"/>
        </w:rPr>
        <w:t xml:space="preserve"> N° 028/2023 de 13 de junio</w:t>
      </w:r>
    </w:p>
    <w:p w14:paraId="072A2EB8" w14:textId="3E81DCED" w:rsidR="001274C8" w:rsidRPr="00CE0B87" w:rsidRDefault="009E59A4" w:rsidP="00CE0B87">
      <w:pPr>
        <w:shd w:val="clear" w:color="auto" w:fill="FFFFFF"/>
        <w:spacing w:after="0" w:line="360" w:lineRule="auto"/>
        <w:jc w:val="both"/>
        <w:rPr>
          <w:rFonts w:ascii="Arial" w:hAnsi="Arial" w:cs="Arial"/>
          <w:b/>
          <w:bCs/>
          <w:sz w:val="24"/>
          <w:szCs w:val="24"/>
          <w:lang w:val="es-ES"/>
        </w:rPr>
      </w:pPr>
      <w:r w:rsidRPr="00CE0B87">
        <w:rPr>
          <w:rFonts w:ascii="Arial" w:hAnsi="Arial" w:cs="Arial"/>
          <w:sz w:val="24"/>
          <w:szCs w:val="24"/>
          <w:lang w:val="es-ES"/>
        </w:rPr>
        <w:t>Habiéndose emitido la </w:t>
      </w:r>
      <w:r w:rsidRPr="00CE0B87">
        <w:rPr>
          <w:rFonts w:ascii="Arial" w:hAnsi="Arial" w:cs="Arial"/>
          <w:b/>
          <w:bCs/>
          <w:sz w:val="24"/>
          <w:szCs w:val="24"/>
          <w:lang w:val="es-ES"/>
        </w:rPr>
        <w:t>Sentencia Agroambiental Plurinacional S2</w:t>
      </w:r>
      <w:r w:rsidRPr="00CE0B87">
        <w:rPr>
          <w:rFonts w:ascii="Arial" w:hAnsi="Arial" w:cs="Arial"/>
          <w:b/>
          <w:bCs/>
          <w:sz w:val="24"/>
          <w:szCs w:val="24"/>
          <w:vertAlign w:val="superscript"/>
          <w:lang w:val="es-ES"/>
        </w:rPr>
        <w:t>a</w:t>
      </w:r>
      <w:r w:rsidRPr="00CE0B87">
        <w:rPr>
          <w:rFonts w:ascii="Arial" w:hAnsi="Arial" w:cs="Arial"/>
          <w:b/>
          <w:bCs/>
          <w:sz w:val="24"/>
          <w:szCs w:val="24"/>
          <w:lang w:val="es-ES"/>
        </w:rPr>
        <w:t xml:space="preserve"> N° 0</w:t>
      </w:r>
      <w:r w:rsidR="00C07287" w:rsidRPr="00CE0B87">
        <w:rPr>
          <w:rFonts w:ascii="Arial" w:hAnsi="Arial" w:cs="Arial"/>
          <w:b/>
          <w:bCs/>
          <w:sz w:val="24"/>
          <w:szCs w:val="24"/>
          <w:lang w:val="es-ES"/>
        </w:rPr>
        <w:t>28</w:t>
      </w:r>
      <w:r w:rsidRPr="00CE0B87">
        <w:rPr>
          <w:rFonts w:ascii="Arial" w:hAnsi="Arial" w:cs="Arial"/>
          <w:b/>
          <w:bCs/>
          <w:sz w:val="24"/>
          <w:szCs w:val="24"/>
          <w:lang w:val="es-ES"/>
        </w:rPr>
        <w:t>/2023 de 1</w:t>
      </w:r>
      <w:r w:rsidR="00C07287" w:rsidRPr="00CE0B87">
        <w:rPr>
          <w:rFonts w:ascii="Arial" w:hAnsi="Arial" w:cs="Arial"/>
          <w:b/>
          <w:bCs/>
          <w:sz w:val="24"/>
          <w:szCs w:val="24"/>
          <w:lang w:val="es-ES"/>
        </w:rPr>
        <w:t>3 de junio</w:t>
      </w:r>
      <w:r w:rsidRPr="00CE0B87">
        <w:rPr>
          <w:rFonts w:ascii="Arial" w:hAnsi="Arial" w:cs="Arial"/>
          <w:b/>
          <w:bCs/>
          <w:iCs/>
          <w:sz w:val="24"/>
          <w:szCs w:val="24"/>
          <w:lang w:val="es-ES"/>
        </w:rPr>
        <w:t xml:space="preserve">, </w:t>
      </w:r>
      <w:r w:rsidRPr="00CE0B87">
        <w:rPr>
          <w:rFonts w:ascii="Arial" w:hAnsi="Arial" w:cs="Arial"/>
          <w:bCs/>
          <w:sz w:val="24"/>
          <w:szCs w:val="24"/>
          <w:lang w:val="es-ES"/>
        </w:rPr>
        <w:t xml:space="preserve">cursante de fs. </w:t>
      </w:r>
      <w:r w:rsidR="00C07287" w:rsidRPr="00CE0B87">
        <w:rPr>
          <w:rFonts w:ascii="Arial" w:hAnsi="Arial" w:cs="Arial"/>
          <w:bCs/>
          <w:sz w:val="24"/>
          <w:szCs w:val="24"/>
          <w:lang w:val="es-ES"/>
        </w:rPr>
        <w:t>578</w:t>
      </w:r>
      <w:r w:rsidRPr="00CE0B87">
        <w:rPr>
          <w:rFonts w:ascii="Arial" w:hAnsi="Arial" w:cs="Arial"/>
          <w:bCs/>
          <w:sz w:val="24"/>
          <w:szCs w:val="24"/>
          <w:lang w:val="es-ES"/>
        </w:rPr>
        <w:t xml:space="preserve"> a </w:t>
      </w:r>
      <w:r w:rsidR="00C07287" w:rsidRPr="00CE0B87">
        <w:rPr>
          <w:rFonts w:ascii="Arial" w:hAnsi="Arial" w:cs="Arial"/>
          <w:bCs/>
          <w:sz w:val="24"/>
          <w:szCs w:val="24"/>
          <w:lang w:val="es-ES"/>
        </w:rPr>
        <w:t>610</w:t>
      </w:r>
      <w:r w:rsidRPr="00CE0B87">
        <w:rPr>
          <w:rFonts w:ascii="Arial" w:hAnsi="Arial" w:cs="Arial"/>
          <w:bCs/>
          <w:sz w:val="24"/>
          <w:szCs w:val="24"/>
          <w:lang w:val="es-ES"/>
        </w:rPr>
        <w:t xml:space="preserve"> de obrados </w:t>
      </w:r>
      <w:r w:rsidRPr="00CE0B87">
        <w:rPr>
          <w:rFonts w:ascii="Arial" w:hAnsi="Arial" w:cs="Arial"/>
          <w:sz w:val="24"/>
          <w:szCs w:val="24"/>
          <w:lang w:val="es-ES_tradnl"/>
        </w:rPr>
        <w:t xml:space="preserve">, la cual resolvió declarar probada la demanda contencioso administrativa interpuesta por </w:t>
      </w:r>
      <w:r w:rsidR="00C07287" w:rsidRPr="00CE0B87">
        <w:rPr>
          <w:rFonts w:ascii="Arial" w:hAnsi="Arial" w:cs="Arial"/>
          <w:sz w:val="24"/>
          <w:szCs w:val="24"/>
          <w:lang w:val="es-ES_tradnl"/>
        </w:rPr>
        <w:t>el Viceministerio de Tierras representado legalmente por Ramiro José Guerrero Peñaranda</w:t>
      </w:r>
      <w:r w:rsidRPr="00CE0B87">
        <w:rPr>
          <w:rFonts w:ascii="Arial" w:hAnsi="Arial" w:cs="Arial"/>
          <w:sz w:val="24"/>
          <w:szCs w:val="24"/>
          <w:lang w:val="es-ES_tradnl"/>
        </w:rPr>
        <w:t xml:space="preserve">, contra el Presidente del Estado Plurinacional de Bolivia y Ministro de Desarrollo Rural y Tierras; en consecuencia nula la Resolución Suprema N° </w:t>
      </w:r>
      <w:r w:rsidR="00FB7674" w:rsidRPr="00CE0B87">
        <w:rPr>
          <w:rFonts w:ascii="Arial" w:hAnsi="Arial" w:cs="Arial"/>
          <w:sz w:val="24"/>
          <w:szCs w:val="24"/>
          <w:lang w:val="es-ES_tradnl"/>
        </w:rPr>
        <w:t>26918</w:t>
      </w:r>
      <w:r w:rsidRPr="00CE0B87">
        <w:rPr>
          <w:rFonts w:ascii="Arial" w:hAnsi="Arial" w:cs="Arial"/>
          <w:sz w:val="24"/>
          <w:szCs w:val="24"/>
          <w:lang w:val="es-ES_tradnl"/>
        </w:rPr>
        <w:t xml:space="preserve"> de </w:t>
      </w:r>
      <w:r w:rsidR="00FB7674" w:rsidRPr="00CE0B87">
        <w:rPr>
          <w:rFonts w:ascii="Arial" w:hAnsi="Arial" w:cs="Arial"/>
          <w:sz w:val="24"/>
          <w:szCs w:val="24"/>
          <w:lang w:val="es-ES_tradnl"/>
        </w:rPr>
        <w:t>21</w:t>
      </w:r>
      <w:r w:rsidRPr="00CE0B87">
        <w:rPr>
          <w:rFonts w:ascii="Arial" w:hAnsi="Arial" w:cs="Arial"/>
          <w:sz w:val="24"/>
          <w:szCs w:val="24"/>
          <w:lang w:val="es-ES_tradnl"/>
        </w:rPr>
        <w:t xml:space="preserve"> de </w:t>
      </w:r>
      <w:r w:rsidR="00FB7674" w:rsidRPr="00CE0B87">
        <w:rPr>
          <w:rFonts w:ascii="Arial" w:hAnsi="Arial" w:cs="Arial"/>
          <w:sz w:val="24"/>
          <w:szCs w:val="24"/>
          <w:lang w:val="es-ES_tradnl"/>
        </w:rPr>
        <w:t>octubre de</w:t>
      </w:r>
      <w:r w:rsidRPr="00CE0B87">
        <w:rPr>
          <w:rFonts w:ascii="Arial" w:hAnsi="Arial" w:cs="Arial"/>
          <w:sz w:val="24"/>
          <w:szCs w:val="24"/>
          <w:lang w:val="es-ES_tradnl"/>
        </w:rPr>
        <w:t xml:space="preserve"> 2020; </w:t>
      </w:r>
      <w:r w:rsidRPr="00CE0B87">
        <w:rPr>
          <w:rFonts w:ascii="Arial" w:hAnsi="Arial" w:cs="Arial"/>
          <w:sz w:val="24"/>
          <w:szCs w:val="24"/>
        </w:rPr>
        <w:t xml:space="preserve">se emitió </w:t>
      </w:r>
      <w:r w:rsidRPr="00CE0B87">
        <w:rPr>
          <w:rFonts w:ascii="Arial" w:hAnsi="Arial" w:cs="Arial"/>
          <w:sz w:val="24"/>
          <w:szCs w:val="24"/>
          <w:lang w:val="es-ES"/>
        </w:rPr>
        <w:t>la </w:t>
      </w:r>
      <w:r w:rsidRPr="00CE0B87">
        <w:rPr>
          <w:rFonts w:ascii="Arial" w:hAnsi="Arial" w:cs="Arial"/>
          <w:b/>
          <w:bCs/>
          <w:sz w:val="24"/>
          <w:szCs w:val="24"/>
          <w:lang w:val="es-ES"/>
        </w:rPr>
        <w:t xml:space="preserve">Resolución AAC </w:t>
      </w:r>
      <w:r w:rsidR="00FB7674" w:rsidRPr="00CE0B87">
        <w:rPr>
          <w:rFonts w:ascii="Arial" w:hAnsi="Arial" w:cs="Arial"/>
          <w:b/>
          <w:bCs/>
          <w:sz w:val="24"/>
          <w:szCs w:val="24"/>
          <w:lang w:val="es-ES"/>
        </w:rPr>
        <w:t>199-2023</w:t>
      </w:r>
      <w:r w:rsidRPr="00CE0B87">
        <w:rPr>
          <w:rFonts w:ascii="Arial" w:hAnsi="Arial" w:cs="Arial"/>
          <w:bCs/>
          <w:sz w:val="24"/>
          <w:szCs w:val="24"/>
          <w:lang w:val="es-ES"/>
        </w:rPr>
        <w:t xml:space="preserve"> (fs. </w:t>
      </w:r>
      <w:r w:rsidR="00FB7674" w:rsidRPr="00CE0B87">
        <w:rPr>
          <w:rFonts w:ascii="Arial" w:hAnsi="Arial" w:cs="Arial"/>
          <w:bCs/>
          <w:sz w:val="24"/>
          <w:szCs w:val="24"/>
          <w:lang w:val="es-ES"/>
        </w:rPr>
        <w:t>678</w:t>
      </w:r>
      <w:r w:rsidRPr="00CE0B87">
        <w:rPr>
          <w:rFonts w:ascii="Arial" w:hAnsi="Arial" w:cs="Arial"/>
          <w:bCs/>
          <w:sz w:val="24"/>
          <w:szCs w:val="24"/>
          <w:lang w:val="es-ES"/>
        </w:rPr>
        <w:t xml:space="preserve"> a </w:t>
      </w:r>
      <w:r w:rsidR="00FB7674" w:rsidRPr="00CE0B87">
        <w:rPr>
          <w:rFonts w:ascii="Arial" w:hAnsi="Arial" w:cs="Arial"/>
          <w:bCs/>
          <w:sz w:val="24"/>
          <w:szCs w:val="24"/>
          <w:lang w:val="es-ES"/>
        </w:rPr>
        <w:t>704</w:t>
      </w:r>
      <w:r w:rsidRPr="00CE0B87">
        <w:rPr>
          <w:rFonts w:ascii="Arial" w:hAnsi="Arial" w:cs="Arial"/>
          <w:bCs/>
          <w:sz w:val="24"/>
          <w:szCs w:val="24"/>
          <w:lang w:val="es-ES"/>
        </w:rPr>
        <w:t>)</w:t>
      </w:r>
      <w:r w:rsidRPr="00CE0B87">
        <w:rPr>
          <w:rFonts w:ascii="Arial" w:hAnsi="Arial" w:cs="Arial"/>
          <w:sz w:val="24"/>
          <w:szCs w:val="24"/>
          <w:lang w:val="es-ES"/>
        </w:rPr>
        <w:t xml:space="preserve">, por </w:t>
      </w:r>
      <w:r w:rsidRPr="00CE0B87">
        <w:rPr>
          <w:rFonts w:ascii="Arial" w:hAnsi="Arial" w:cs="Arial"/>
          <w:bCs/>
          <w:sz w:val="24"/>
          <w:szCs w:val="24"/>
          <w:lang w:val="es-ES"/>
        </w:rPr>
        <w:t xml:space="preserve">la Sala Constitucional </w:t>
      </w:r>
      <w:r w:rsidR="00FB7674" w:rsidRPr="00CE0B87">
        <w:rPr>
          <w:rFonts w:ascii="Arial" w:hAnsi="Arial" w:cs="Arial"/>
          <w:bCs/>
          <w:sz w:val="24"/>
          <w:szCs w:val="24"/>
          <w:lang w:val="es-ES"/>
        </w:rPr>
        <w:t>Cuarta</w:t>
      </w:r>
      <w:r w:rsidRPr="00CE0B87">
        <w:rPr>
          <w:rFonts w:ascii="Arial" w:hAnsi="Arial" w:cs="Arial"/>
          <w:bCs/>
          <w:sz w:val="24"/>
          <w:szCs w:val="24"/>
          <w:lang w:val="es-ES"/>
        </w:rPr>
        <w:t xml:space="preserve"> </w:t>
      </w:r>
      <w:r w:rsidRPr="00CE0B87">
        <w:rPr>
          <w:rFonts w:ascii="Arial" w:hAnsi="Arial" w:cs="Arial"/>
          <w:sz w:val="24"/>
          <w:szCs w:val="24"/>
          <w:lang w:val="es-ES"/>
        </w:rPr>
        <w:t xml:space="preserve">del Tribunal Departamental de Justicia de </w:t>
      </w:r>
      <w:r w:rsidR="00FB7674" w:rsidRPr="00CE0B87">
        <w:rPr>
          <w:rFonts w:ascii="Arial" w:hAnsi="Arial" w:cs="Arial"/>
          <w:sz w:val="24"/>
          <w:szCs w:val="24"/>
          <w:lang w:val="es-ES"/>
        </w:rPr>
        <w:t>Santa Cruz</w:t>
      </w:r>
      <w:r w:rsidRPr="00CE0B87">
        <w:rPr>
          <w:rFonts w:ascii="Arial" w:hAnsi="Arial" w:cs="Arial"/>
          <w:sz w:val="24"/>
          <w:szCs w:val="24"/>
          <w:lang w:val="es-ES"/>
        </w:rPr>
        <w:t>, quienes dispusieron</w:t>
      </w:r>
      <w:r w:rsidR="00FB7674" w:rsidRPr="00CE0B87">
        <w:rPr>
          <w:rFonts w:ascii="Arial" w:hAnsi="Arial" w:cs="Arial"/>
          <w:sz w:val="24"/>
          <w:szCs w:val="24"/>
          <w:lang w:val="es-ES"/>
        </w:rPr>
        <w:t xml:space="preserve"> Conceder la tutela solicitada en consecuencia</w:t>
      </w:r>
      <w:r w:rsidRPr="00CE0B87">
        <w:rPr>
          <w:rFonts w:ascii="Arial" w:hAnsi="Arial" w:cs="Arial"/>
          <w:b/>
          <w:bCs/>
          <w:sz w:val="24"/>
          <w:szCs w:val="24"/>
          <w:lang w:val="es-ES"/>
        </w:rPr>
        <w:t>: 1. </w:t>
      </w:r>
      <w:r w:rsidR="00FB7674" w:rsidRPr="00CE0B87">
        <w:rPr>
          <w:rFonts w:ascii="Arial" w:hAnsi="Arial" w:cs="Arial"/>
          <w:bCs/>
          <w:sz w:val="24"/>
          <w:szCs w:val="24"/>
          <w:lang w:val="es-ES"/>
        </w:rPr>
        <w:t>D</w:t>
      </w:r>
      <w:r w:rsidRPr="00CE0B87">
        <w:rPr>
          <w:rFonts w:ascii="Arial" w:hAnsi="Arial" w:cs="Arial"/>
          <w:sz w:val="24"/>
          <w:szCs w:val="24"/>
          <w:lang w:val="es-ES"/>
        </w:rPr>
        <w:t>eja</w:t>
      </w:r>
      <w:r w:rsidR="00FB7674" w:rsidRPr="00CE0B87">
        <w:rPr>
          <w:rFonts w:ascii="Arial" w:hAnsi="Arial" w:cs="Arial"/>
          <w:sz w:val="24"/>
          <w:szCs w:val="24"/>
          <w:lang w:val="es-ES"/>
        </w:rPr>
        <w:t xml:space="preserve">r </w:t>
      </w:r>
      <w:r w:rsidRPr="00CE0B87">
        <w:rPr>
          <w:rFonts w:ascii="Arial" w:hAnsi="Arial" w:cs="Arial"/>
          <w:sz w:val="24"/>
          <w:szCs w:val="24"/>
          <w:lang w:val="es-ES"/>
        </w:rPr>
        <w:t>sin efecto la </w:t>
      </w:r>
      <w:r w:rsidRPr="00CE0B87">
        <w:rPr>
          <w:rFonts w:ascii="Arial" w:hAnsi="Arial" w:cs="Arial"/>
          <w:bCs/>
          <w:sz w:val="24"/>
          <w:szCs w:val="24"/>
          <w:lang w:val="es-ES"/>
        </w:rPr>
        <w:t>Sentencia Agroambiental Plurinacional S2</w:t>
      </w:r>
      <w:r w:rsidRPr="00CE0B87">
        <w:rPr>
          <w:rFonts w:ascii="Arial" w:hAnsi="Arial" w:cs="Arial"/>
          <w:bCs/>
          <w:sz w:val="24"/>
          <w:szCs w:val="24"/>
          <w:vertAlign w:val="superscript"/>
          <w:lang w:val="es-ES"/>
        </w:rPr>
        <w:t>a</w:t>
      </w:r>
      <w:r w:rsidRPr="00CE0B87">
        <w:rPr>
          <w:rFonts w:ascii="Arial" w:hAnsi="Arial" w:cs="Arial"/>
          <w:bCs/>
          <w:sz w:val="24"/>
          <w:szCs w:val="24"/>
          <w:lang w:val="es-ES"/>
        </w:rPr>
        <w:t xml:space="preserve"> N° 0</w:t>
      </w:r>
      <w:r w:rsidR="00FB7674" w:rsidRPr="00CE0B87">
        <w:rPr>
          <w:rFonts w:ascii="Arial" w:hAnsi="Arial" w:cs="Arial"/>
          <w:bCs/>
          <w:sz w:val="24"/>
          <w:szCs w:val="24"/>
          <w:lang w:val="es-ES"/>
        </w:rPr>
        <w:t>28</w:t>
      </w:r>
      <w:r w:rsidRPr="00CE0B87">
        <w:rPr>
          <w:rFonts w:ascii="Arial" w:hAnsi="Arial" w:cs="Arial"/>
          <w:bCs/>
          <w:sz w:val="24"/>
          <w:szCs w:val="24"/>
          <w:lang w:val="es-ES"/>
        </w:rPr>
        <w:t xml:space="preserve">/2023 de 11 de </w:t>
      </w:r>
      <w:r w:rsidR="00FB7674" w:rsidRPr="00CE0B87">
        <w:rPr>
          <w:rFonts w:ascii="Arial" w:hAnsi="Arial" w:cs="Arial"/>
          <w:bCs/>
          <w:sz w:val="24"/>
          <w:szCs w:val="24"/>
          <w:lang w:val="es-ES"/>
        </w:rPr>
        <w:t>junio del 2023</w:t>
      </w:r>
      <w:r w:rsidRPr="00CE0B87">
        <w:rPr>
          <w:rFonts w:ascii="Arial" w:hAnsi="Arial" w:cs="Arial"/>
          <w:sz w:val="24"/>
          <w:szCs w:val="24"/>
          <w:lang w:val="es-ES"/>
        </w:rPr>
        <w:t>;</w:t>
      </w:r>
      <w:r w:rsidRPr="00CE0B87">
        <w:rPr>
          <w:rFonts w:ascii="Arial" w:hAnsi="Arial" w:cs="Arial"/>
          <w:b/>
          <w:bCs/>
          <w:sz w:val="24"/>
          <w:szCs w:val="24"/>
          <w:lang w:val="es-ES"/>
        </w:rPr>
        <w:t> 2.</w:t>
      </w:r>
      <w:r w:rsidRPr="00CE0B87">
        <w:rPr>
          <w:rFonts w:ascii="Arial" w:hAnsi="Arial" w:cs="Arial"/>
          <w:sz w:val="24"/>
          <w:szCs w:val="24"/>
          <w:lang w:val="es-ES"/>
        </w:rPr>
        <w:t> Se emita nueva resolución, bajo los siguientes argumentos: </w:t>
      </w:r>
      <w:r w:rsidRPr="00CE0B87">
        <w:rPr>
          <w:rFonts w:ascii="Arial" w:hAnsi="Arial" w:cs="Arial"/>
          <w:b/>
          <w:bCs/>
          <w:sz w:val="24"/>
          <w:szCs w:val="24"/>
          <w:lang w:val="es-ES"/>
        </w:rPr>
        <w:t>a)</w:t>
      </w:r>
      <w:r w:rsidRPr="00CE0B87">
        <w:rPr>
          <w:rFonts w:ascii="Arial" w:hAnsi="Arial" w:cs="Arial"/>
          <w:sz w:val="24"/>
          <w:szCs w:val="24"/>
          <w:lang w:val="es-ES"/>
        </w:rPr>
        <w:t> Que,</w:t>
      </w:r>
      <w:r w:rsidR="00456472" w:rsidRPr="00CE0B87">
        <w:rPr>
          <w:rFonts w:ascii="Arial" w:hAnsi="Arial" w:cs="Arial"/>
          <w:sz w:val="24"/>
          <w:szCs w:val="24"/>
          <w:lang w:val="es-ES"/>
        </w:rPr>
        <w:t xml:space="preserve"> en un proceso contencioso administrativo en la Sentencia Agroambiental Plurinacional  se estaría identificando relaciones servidumbrales, sin seguir un procedimiento establecido por ley, aspecto que trastoca su derecho a la defensa, porque no tiene o no cuenta con el tiempo y los medios adecuados para dicha defensa. Toda vez, que con eso trastocaría también, su derecho a la igualdad, en el entendido, que ni siquiera en el procedimiento de saneamiento y a la luz de los diferentes informes evacuados, se habría evidenciado la relación servidumbral, denunciados en el proceso contencioso </w:t>
      </w:r>
      <w:r w:rsidR="001B7066" w:rsidRPr="00CE0B87">
        <w:rPr>
          <w:rFonts w:ascii="Arial" w:hAnsi="Arial" w:cs="Arial"/>
          <w:sz w:val="24"/>
          <w:szCs w:val="24"/>
          <w:lang w:val="es-ES"/>
        </w:rPr>
        <w:t>administrativo</w:t>
      </w:r>
      <w:r w:rsidR="00456472" w:rsidRPr="00CE0B87">
        <w:rPr>
          <w:rFonts w:ascii="Arial" w:hAnsi="Arial" w:cs="Arial"/>
          <w:sz w:val="24"/>
          <w:szCs w:val="24"/>
          <w:lang w:val="es-ES"/>
        </w:rPr>
        <w:t xml:space="preserve">, aspectos que generan una disminución en el derecho a la defensa </w:t>
      </w:r>
      <w:r w:rsidR="001B7066" w:rsidRPr="00CE0B87">
        <w:rPr>
          <w:rFonts w:ascii="Arial" w:hAnsi="Arial" w:cs="Arial"/>
          <w:sz w:val="24"/>
          <w:szCs w:val="24"/>
          <w:lang w:val="es-ES"/>
        </w:rPr>
        <w:t>del ahora accionante. Es a partir de ellos que se puede evidenciar en la carga argumentativa desarrollada por parte del Tribunal Agroambiental, referido a este punto, el mismo señala, bajo el argumento de que, referente a las pruebas presentadas, consistente en declaraciones juradas, no puede ser válida, porque existen contratos suscritos</w:t>
      </w:r>
      <w:r w:rsidR="00256D0B" w:rsidRPr="00CE0B87">
        <w:rPr>
          <w:rFonts w:ascii="Arial" w:hAnsi="Arial" w:cs="Arial"/>
          <w:sz w:val="24"/>
          <w:szCs w:val="24"/>
          <w:lang w:val="es-ES"/>
        </w:rPr>
        <w:t xml:space="preserve"> por los trabajadores, donde se advierte la remuneración que van a percibir y cuyos documentos no puede ser desvirtuados solamente con declaraciones, por lo que se advierte que </w:t>
      </w:r>
      <w:r w:rsidR="00FB4A02" w:rsidRPr="00CE0B87">
        <w:rPr>
          <w:rFonts w:ascii="Arial" w:hAnsi="Arial" w:cs="Arial"/>
          <w:sz w:val="24"/>
          <w:szCs w:val="24"/>
          <w:lang w:val="es-ES"/>
        </w:rPr>
        <w:t xml:space="preserve">hubo incumplimiento de contrato, en cuanto a la remuneración y por ende, a partir de un pago menor al salario mínimo nacional, señala, que existe una situación o un régimen servidumbral. Al respecto y en virtud a lo anteriormente expuesto, corresponde precisar que, en la carga argumentativa desarrollada por el Tribunal Agroambiental, no establece o no genera una motivación suficiente en el entendido, del por qué no se aplicaría el procedimiento en el marco del Decreto Supremo 388 </w:t>
      </w:r>
      <w:r w:rsidR="00FB4A02" w:rsidRPr="00CE0B87">
        <w:rPr>
          <w:rFonts w:ascii="Arial" w:hAnsi="Arial" w:cs="Arial"/>
          <w:sz w:val="24"/>
          <w:szCs w:val="24"/>
          <w:lang w:val="es-ES"/>
        </w:rPr>
        <w:lastRenderedPageBreak/>
        <w:t>del 23 de diciembre de 2009</w:t>
      </w:r>
      <w:r w:rsidRPr="00CE0B87">
        <w:rPr>
          <w:rFonts w:ascii="Arial" w:hAnsi="Arial" w:cs="Arial"/>
          <w:sz w:val="24"/>
          <w:szCs w:val="24"/>
          <w:lang w:val="es-ES"/>
        </w:rPr>
        <w:t>; </w:t>
      </w:r>
      <w:r w:rsidRPr="00CE0B87">
        <w:rPr>
          <w:rFonts w:ascii="Arial" w:hAnsi="Arial" w:cs="Arial"/>
          <w:b/>
          <w:bCs/>
          <w:sz w:val="24"/>
          <w:szCs w:val="24"/>
          <w:lang w:val="es-ES"/>
        </w:rPr>
        <w:t>b)</w:t>
      </w:r>
      <w:r w:rsidR="001274C8" w:rsidRPr="00CE0B87">
        <w:rPr>
          <w:rFonts w:ascii="Arial" w:hAnsi="Arial" w:cs="Arial"/>
          <w:b/>
          <w:bCs/>
          <w:sz w:val="24"/>
          <w:szCs w:val="24"/>
          <w:lang w:val="es-ES"/>
        </w:rPr>
        <w:t xml:space="preserve"> </w:t>
      </w:r>
      <w:r w:rsidR="001274C8" w:rsidRPr="00CE0B87">
        <w:rPr>
          <w:rFonts w:ascii="Arial" w:hAnsi="Arial" w:cs="Arial"/>
          <w:bCs/>
          <w:sz w:val="24"/>
          <w:szCs w:val="24"/>
          <w:lang w:val="es-ES"/>
        </w:rPr>
        <w:t xml:space="preserve">De igual manera, respecto a la causal de nulidad por una supuesta identificación del fraccionamiento fraudulento, corresponde precisar que de la documentación adjunta, las mismas, no han sido valoradas íntegramente y tampoco dada la naturaleza de la demanda contenciosa administrativa, se dio una amplia defensa a los accionantes. Situación por la cual, tampoco se estableció por parte de la Sentencia del Tribunal Agroambiental, los presupuestos a la luz de la norma que sanciona con nulidad la suposición de un fraccionamiento fraudulento; </w:t>
      </w:r>
      <w:r w:rsidR="001274C8" w:rsidRPr="00CE0B87">
        <w:rPr>
          <w:rFonts w:ascii="Arial" w:hAnsi="Arial" w:cs="Arial"/>
          <w:b/>
          <w:bCs/>
          <w:sz w:val="24"/>
          <w:szCs w:val="24"/>
          <w:lang w:val="es-ES"/>
        </w:rPr>
        <w:t>c)</w:t>
      </w:r>
      <w:r w:rsidR="002E71EC" w:rsidRPr="00CE0B87">
        <w:rPr>
          <w:rFonts w:ascii="Arial" w:hAnsi="Arial" w:cs="Arial"/>
          <w:b/>
          <w:bCs/>
          <w:sz w:val="24"/>
          <w:szCs w:val="24"/>
          <w:lang w:val="es-ES"/>
        </w:rPr>
        <w:t xml:space="preserve"> </w:t>
      </w:r>
      <w:r w:rsidR="002E71EC" w:rsidRPr="00CE0B87">
        <w:rPr>
          <w:rFonts w:ascii="Arial" w:hAnsi="Arial" w:cs="Arial"/>
          <w:bCs/>
          <w:sz w:val="24"/>
          <w:szCs w:val="24"/>
          <w:lang w:val="es-ES"/>
        </w:rPr>
        <w:t>No se establece tampoco por parte de las autoridades accionadas, de manera clara, cuál sería la norma que sanciona la nulidad, ante la posible existencia de un incumplimiento de las características de la propiedad mediana y empresa agrícola.</w:t>
      </w:r>
      <w:r w:rsidR="001274C8" w:rsidRPr="00CE0B87">
        <w:rPr>
          <w:rFonts w:ascii="Arial" w:hAnsi="Arial" w:cs="Arial"/>
          <w:bCs/>
          <w:sz w:val="24"/>
          <w:szCs w:val="24"/>
          <w:lang w:val="es-ES"/>
        </w:rPr>
        <w:t xml:space="preserve">    </w:t>
      </w:r>
    </w:p>
    <w:p w14:paraId="1D5791D8" w14:textId="46E0CDFE" w:rsidR="00620033" w:rsidRPr="00CE0B87" w:rsidRDefault="00620033"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I.4.</w:t>
      </w:r>
      <w:r w:rsidR="00E525AF" w:rsidRPr="00CE0B87">
        <w:rPr>
          <w:rFonts w:ascii="Arial" w:eastAsia="Times New Roman" w:hAnsi="Arial" w:cs="Arial"/>
          <w:b/>
          <w:bCs/>
          <w:color w:val="000000"/>
          <w:sz w:val="24"/>
          <w:szCs w:val="24"/>
          <w:lang w:eastAsia="es-BO"/>
        </w:rPr>
        <w:t>6</w:t>
      </w:r>
      <w:r w:rsidRPr="00CE0B87">
        <w:rPr>
          <w:rFonts w:ascii="Arial" w:eastAsia="Times New Roman" w:hAnsi="Arial" w:cs="Arial"/>
          <w:b/>
          <w:bCs/>
          <w:color w:val="000000"/>
          <w:sz w:val="24"/>
          <w:szCs w:val="24"/>
          <w:lang w:eastAsia="es-BO"/>
        </w:rPr>
        <w:t>. Decreto de Suspensión de plazo</w:t>
      </w:r>
      <w:r w:rsidR="00813C9F" w:rsidRPr="00CE0B87">
        <w:rPr>
          <w:rFonts w:ascii="Arial" w:eastAsia="Times New Roman" w:hAnsi="Arial" w:cs="Arial"/>
          <w:b/>
          <w:bCs/>
          <w:color w:val="000000"/>
          <w:sz w:val="24"/>
          <w:szCs w:val="24"/>
          <w:lang w:eastAsia="es-BO"/>
        </w:rPr>
        <w:t xml:space="preserve"> para dictar Sentencia</w:t>
      </w:r>
      <w:r w:rsidRPr="00CE0B87">
        <w:rPr>
          <w:rFonts w:ascii="Arial" w:eastAsia="Times New Roman" w:hAnsi="Arial" w:cs="Arial"/>
          <w:b/>
          <w:bCs/>
          <w:color w:val="000000"/>
          <w:sz w:val="24"/>
          <w:szCs w:val="24"/>
          <w:lang w:eastAsia="es-BO"/>
        </w:rPr>
        <w:t>.</w:t>
      </w:r>
    </w:p>
    <w:p w14:paraId="0BB5C6A3" w14:textId="6B389381" w:rsidR="00620033" w:rsidRPr="00CE0B87" w:rsidRDefault="00620033" w:rsidP="00CE0B87">
      <w:pPr>
        <w:spacing w:after="0" w:line="360" w:lineRule="auto"/>
        <w:jc w:val="both"/>
        <w:rPr>
          <w:rFonts w:ascii="Arial" w:eastAsia="Times New Roman" w:hAnsi="Arial" w:cs="Arial"/>
          <w:color w:val="000000"/>
          <w:sz w:val="24"/>
          <w:szCs w:val="24"/>
          <w:lang w:eastAsia="es-BO"/>
        </w:rPr>
      </w:pPr>
      <w:r w:rsidRPr="00CE0B87">
        <w:rPr>
          <w:rFonts w:ascii="Arial" w:eastAsia="Times New Roman" w:hAnsi="Arial" w:cs="Arial"/>
          <w:color w:val="000000"/>
          <w:sz w:val="24"/>
          <w:szCs w:val="24"/>
          <w:lang w:eastAsia="es-BO"/>
        </w:rPr>
        <w:t xml:space="preserve">Mediante Auto Interlocutorio Simple de 28 de junio de 2024, cursante a fs. 728 vta. de obrados, dispone: Con carácter previo a emitir sentencia que por el Departamento Técnico Especializado del Tribunal Agroambiental se eleve a esta instancia un informe Técnico circunstanciado con planos demostrativos que identifiquen la información y las sobreposiciones </w:t>
      </w:r>
      <w:r w:rsidR="004127E1" w:rsidRPr="00CE0B87">
        <w:rPr>
          <w:rFonts w:ascii="Arial" w:eastAsia="Times New Roman" w:hAnsi="Arial" w:cs="Arial"/>
          <w:color w:val="000000"/>
          <w:sz w:val="24"/>
          <w:szCs w:val="24"/>
          <w:lang w:eastAsia="es-BO"/>
        </w:rPr>
        <w:t>respecto a los expedientes agrarios N° 12395 y 58128</w:t>
      </w:r>
      <w:r w:rsidRPr="00CE0B87">
        <w:rPr>
          <w:rFonts w:ascii="Arial" w:eastAsia="Times New Roman" w:hAnsi="Arial" w:cs="Arial"/>
          <w:color w:val="000000"/>
          <w:sz w:val="24"/>
          <w:szCs w:val="24"/>
          <w:lang w:eastAsia="es-BO"/>
        </w:rPr>
        <w:t>, SUSPENDIENDO el plazo para dictar sentencia.</w:t>
      </w:r>
    </w:p>
    <w:p w14:paraId="67FE2F62" w14:textId="4920567C" w:rsidR="004127E1" w:rsidRPr="00CE0B87" w:rsidRDefault="004127E1"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 xml:space="preserve">I.4.7. Decreto de </w:t>
      </w:r>
      <w:r w:rsidR="00813C9F" w:rsidRPr="00CE0B87">
        <w:rPr>
          <w:rFonts w:ascii="Arial" w:eastAsia="Times New Roman" w:hAnsi="Arial" w:cs="Arial"/>
          <w:b/>
          <w:bCs/>
          <w:color w:val="000000"/>
          <w:sz w:val="24"/>
          <w:szCs w:val="24"/>
          <w:lang w:eastAsia="es-BO"/>
        </w:rPr>
        <w:t>Reinicio</w:t>
      </w:r>
      <w:r w:rsidRPr="00CE0B87">
        <w:rPr>
          <w:rFonts w:ascii="Arial" w:eastAsia="Times New Roman" w:hAnsi="Arial" w:cs="Arial"/>
          <w:b/>
          <w:bCs/>
          <w:color w:val="000000"/>
          <w:sz w:val="24"/>
          <w:szCs w:val="24"/>
          <w:lang w:eastAsia="es-BO"/>
        </w:rPr>
        <w:t xml:space="preserve"> de plazo</w:t>
      </w:r>
      <w:r w:rsidR="00813C9F" w:rsidRPr="00CE0B87">
        <w:rPr>
          <w:rFonts w:ascii="Arial" w:eastAsia="Times New Roman" w:hAnsi="Arial" w:cs="Arial"/>
          <w:b/>
          <w:bCs/>
          <w:color w:val="000000"/>
          <w:sz w:val="24"/>
          <w:szCs w:val="24"/>
          <w:lang w:eastAsia="es-BO"/>
        </w:rPr>
        <w:t xml:space="preserve"> para dictar Sentencia</w:t>
      </w:r>
      <w:r w:rsidRPr="00CE0B87">
        <w:rPr>
          <w:rFonts w:ascii="Arial" w:eastAsia="Times New Roman" w:hAnsi="Arial" w:cs="Arial"/>
          <w:b/>
          <w:bCs/>
          <w:color w:val="000000"/>
          <w:sz w:val="24"/>
          <w:szCs w:val="24"/>
          <w:lang w:eastAsia="es-BO"/>
        </w:rPr>
        <w:t>.</w:t>
      </w:r>
    </w:p>
    <w:p w14:paraId="747FBA1E" w14:textId="54D19CB8" w:rsidR="004127E1" w:rsidRPr="00CE0B87" w:rsidRDefault="00813C9F"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212529"/>
          <w:sz w:val="24"/>
          <w:szCs w:val="24"/>
          <w:lang w:eastAsia="es-BO"/>
        </w:rPr>
        <w:t>Por Auto Interlocutorio Simple de 06 de septiembre de 2024, cursante a fs. 743 de obrados, se dispone el Reinicio de plazo para dictar Sentencia, el mismo será computado a partir del ingreso del expediente a despacho.</w:t>
      </w:r>
    </w:p>
    <w:p w14:paraId="1A9BB37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 Actos procesales relevantes</w:t>
      </w:r>
    </w:p>
    <w:p w14:paraId="6240BBF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I.5.1. Actos procesales relevantes en sede administrativa</w:t>
      </w:r>
    </w:p>
    <w:p w14:paraId="6878B7F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la revisión y compulsa de los antecedentes del proceso de Saneamiento Simple de Oficio (SAN-SIM), respecto del polígono N° 137, correspondiente a los predios denominados “Ayacucho”, “Ayacucho I” y “Tunuma”, ubicados en el municipio San Rafael, provincia Velasco del departamento de Santa Cruz, se tienen los siguientes actuados procesales, que conforme a Informe Legal JRLL-SCE-INF-SAN No 514/2018 de 14 de agosto de 2018, cursante de fs. 1266 a 1267, que a efectos de la revisión y análisis en la presente Sentencia, se considerará la foliación inferior derecha, de acuerdo a lo siguiente:</w:t>
      </w:r>
    </w:p>
    <w:p w14:paraId="7A37785E" w14:textId="2AAF3184"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 </w:t>
      </w:r>
      <w:r w:rsidRPr="00CE0B87">
        <w:rPr>
          <w:rFonts w:ascii="Arial" w:eastAsia="Times New Roman" w:hAnsi="Arial" w:cs="Arial"/>
          <w:color w:val="000000"/>
          <w:sz w:val="24"/>
          <w:szCs w:val="24"/>
          <w:lang w:eastAsia="es-BO"/>
        </w:rPr>
        <w:t>De fs. 121 a 12</w:t>
      </w:r>
      <w:r w:rsidR="00A5687D" w:rsidRPr="00CE0B87">
        <w:rPr>
          <w:rFonts w:ascii="Arial" w:eastAsia="Times New Roman" w:hAnsi="Arial" w:cs="Arial"/>
          <w:color w:val="000000"/>
          <w:sz w:val="24"/>
          <w:szCs w:val="24"/>
          <w:lang w:eastAsia="es-BO"/>
        </w:rPr>
        <w:t>4</w:t>
      </w:r>
      <w:r w:rsidRPr="00CE0B87">
        <w:rPr>
          <w:rFonts w:ascii="Arial" w:eastAsia="Times New Roman" w:hAnsi="Arial" w:cs="Arial"/>
          <w:color w:val="000000"/>
          <w:sz w:val="24"/>
          <w:szCs w:val="24"/>
          <w:lang w:eastAsia="es-BO"/>
        </w:rPr>
        <w:t>, cursa </w:t>
      </w:r>
      <w:r w:rsidRPr="00CE0B87">
        <w:rPr>
          <w:rFonts w:ascii="Arial" w:eastAsia="Times New Roman" w:hAnsi="Arial" w:cs="Arial"/>
          <w:b/>
          <w:bCs/>
          <w:i/>
          <w:iCs/>
          <w:color w:val="000000"/>
          <w:sz w:val="24"/>
          <w:szCs w:val="24"/>
          <w:lang w:eastAsia="es-BO"/>
        </w:rPr>
        <w:t>Medida Preparatoria de reconocimiento de firmas</w:t>
      </w:r>
      <w:r w:rsidRPr="00CE0B87">
        <w:rPr>
          <w:rFonts w:ascii="Arial" w:eastAsia="Times New Roman" w:hAnsi="Arial" w:cs="Arial"/>
          <w:color w:val="000000"/>
          <w:sz w:val="24"/>
          <w:szCs w:val="24"/>
          <w:lang w:eastAsia="es-BO"/>
        </w:rPr>
        <w:t xml:space="preserve"> (marzo y abril 2010), seguido por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contra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ante el Juez de Instrucción de Turno en Materia Civil y Comercial de Santa Cruz, con relación a un “Documento privado de compra y venta </w:t>
      </w:r>
      <w:r w:rsidRPr="00CE0B87">
        <w:rPr>
          <w:rFonts w:ascii="Arial" w:eastAsia="Times New Roman" w:hAnsi="Arial" w:cs="Arial"/>
          <w:color w:val="000000"/>
          <w:sz w:val="24"/>
          <w:szCs w:val="24"/>
          <w:lang w:eastAsia="es-BO"/>
        </w:rPr>
        <w:lastRenderedPageBreak/>
        <w:t>de derecho de posesión y mejoras de la propiedad rústica Ayacucho I”, suscrito el 07 de mayo de 1994.</w:t>
      </w:r>
    </w:p>
    <w:p w14:paraId="3D1199F9" w14:textId="562D0138"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I.5.1.2. </w:t>
      </w:r>
      <w:r w:rsidRPr="00CE0B87">
        <w:rPr>
          <w:rFonts w:ascii="Arial" w:eastAsia="Times New Roman" w:hAnsi="Arial" w:cs="Arial"/>
          <w:color w:val="000000"/>
          <w:sz w:val="24"/>
          <w:szCs w:val="24"/>
          <w:lang w:eastAsia="es-BO"/>
        </w:rPr>
        <w:t>De fs. 135 a 14</w:t>
      </w:r>
      <w:r w:rsidR="00A5687D" w:rsidRPr="00CE0B87">
        <w:rPr>
          <w:rFonts w:ascii="Arial" w:eastAsia="Times New Roman" w:hAnsi="Arial" w:cs="Arial"/>
          <w:color w:val="000000"/>
          <w:sz w:val="24"/>
          <w:szCs w:val="24"/>
          <w:lang w:eastAsia="es-BO"/>
        </w:rPr>
        <w:t>0 vta.</w:t>
      </w:r>
      <w:r w:rsidRPr="00CE0B87">
        <w:rPr>
          <w:rFonts w:ascii="Arial" w:eastAsia="Times New Roman" w:hAnsi="Arial" w:cs="Arial"/>
          <w:color w:val="000000"/>
          <w:sz w:val="24"/>
          <w:szCs w:val="24"/>
          <w:lang w:eastAsia="es-BO"/>
        </w:rPr>
        <w:t>, cursa </w:t>
      </w:r>
      <w:r w:rsidRPr="00CE0B87">
        <w:rPr>
          <w:rFonts w:ascii="Arial" w:eastAsia="Times New Roman" w:hAnsi="Arial" w:cs="Arial"/>
          <w:b/>
          <w:bCs/>
          <w:i/>
          <w:iCs/>
          <w:color w:val="000000"/>
          <w:sz w:val="24"/>
          <w:szCs w:val="24"/>
          <w:lang w:eastAsia="es-BO"/>
        </w:rPr>
        <w:t>Testimonio relativo al proceso de medida preparatoria de reconocimiento de firmas, de 01 de abril de 2010,</w:t>
      </w:r>
      <w:r w:rsidRPr="00CE0B87">
        <w:rPr>
          <w:rFonts w:ascii="Arial" w:eastAsia="Times New Roman" w:hAnsi="Arial" w:cs="Arial"/>
          <w:color w:val="000000"/>
          <w:sz w:val="24"/>
          <w:szCs w:val="24"/>
          <w:lang w:eastAsia="es-BO"/>
        </w:rPr>
        <w:t xml:space="preserve"> seguido por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contra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con relación a un contrato privado de venta de posesión y mejoras introducidas en la propiedad rústica denominada “Ayacucho II”, sobre una extensión de 2479,7699 ha, suscrito el 19 de mayo de 1994.</w:t>
      </w:r>
    </w:p>
    <w:p w14:paraId="674CA79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I.5.1.3. </w:t>
      </w:r>
      <w:r w:rsidRPr="00CE0B87">
        <w:rPr>
          <w:rFonts w:ascii="Arial" w:eastAsia="Times New Roman" w:hAnsi="Arial" w:cs="Arial"/>
          <w:color w:val="000000"/>
          <w:sz w:val="24"/>
          <w:szCs w:val="24"/>
          <w:lang w:eastAsia="es-BO"/>
        </w:rPr>
        <w:t>De fs. 146 a 149, cursa </w:t>
      </w:r>
      <w:r w:rsidRPr="00CE0B87">
        <w:rPr>
          <w:rFonts w:ascii="Arial" w:eastAsia="Times New Roman" w:hAnsi="Arial" w:cs="Arial"/>
          <w:b/>
          <w:bCs/>
          <w:i/>
          <w:iCs/>
          <w:color w:val="000000"/>
          <w:sz w:val="24"/>
          <w:szCs w:val="24"/>
          <w:lang w:eastAsia="es-BO"/>
        </w:rPr>
        <w:t>Testimonio relativo a un proceso de medida preparatoria de reconocimiento de firmas de 07 de abril de 2010,</w:t>
      </w:r>
      <w:r w:rsidRPr="00CE0B87">
        <w:rPr>
          <w:rFonts w:ascii="Arial" w:eastAsia="Times New Roman" w:hAnsi="Arial" w:cs="Arial"/>
          <w:color w:val="000000"/>
          <w:sz w:val="24"/>
          <w:szCs w:val="24"/>
          <w:lang w:eastAsia="es-BO"/>
        </w:rPr>
        <w:t xml:space="preserve"> seguido por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contra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respecto al documento privado de compra y venta de derecho y posesión y mejoras de la propiedad rústica “Ayacucho III”, suscrito el 30 de mayo de 1994.</w:t>
      </w:r>
    </w:p>
    <w:p w14:paraId="02C7412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I.5.1.4. </w:t>
      </w:r>
      <w:r w:rsidRPr="00CE0B87">
        <w:rPr>
          <w:rFonts w:ascii="Arial" w:eastAsia="Times New Roman" w:hAnsi="Arial" w:cs="Arial"/>
          <w:color w:val="000000"/>
          <w:sz w:val="24"/>
          <w:szCs w:val="24"/>
          <w:lang w:eastAsia="es-BO"/>
        </w:rPr>
        <w:t>De fs. 589 y vta., cursa </w:t>
      </w:r>
      <w:r w:rsidRPr="00CE0B87">
        <w:rPr>
          <w:rFonts w:ascii="Arial" w:eastAsia="Times New Roman" w:hAnsi="Arial" w:cs="Arial"/>
          <w:b/>
          <w:bCs/>
          <w:i/>
          <w:iCs/>
          <w:color w:val="000000"/>
          <w:sz w:val="24"/>
          <w:szCs w:val="24"/>
          <w:lang w:eastAsia="es-BO"/>
        </w:rPr>
        <w:t>Contrato de Compra Venta de Derecho de Posesión y Mejoras de la propiedad rústica “Ayacucho I”</w:t>
      </w:r>
      <w:r w:rsidRPr="00CE0B87">
        <w:rPr>
          <w:rFonts w:ascii="Arial" w:eastAsia="Times New Roman" w:hAnsi="Arial" w:cs="Arial"/>
          <w:color w:val="000000"/>
          <w:sz w:val="24"/>
          <w:szCs w:val="24"/>
          <w:lang w:eastAsia="es-BO"/>
        </w:rPr>
        <w:t xml:space="preserve">, suscrita entre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y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sobre una superficie total de 1904.9498 ha, suscrito el 07 de mayo de 1994.</w:t>
      </w:r>
    </w:p>
    <w:p w14:paraId="311B261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I.5.1.5. </w:t>
      </w:r>
      <w:r w:rsidRPr="00CE0B87">
        <w:rPr>
          <w:rFonts w:ascii="Arial" w:eastAsia="Times New Roman" w:hAnsi="Arial" w:cs="Arial"/>
          <w:color w:val="000000"/>
          <w:sz w:val="24"/>
          <w:szCs w:val="24"/>
          <w:lang w:eastAsia="es-BO"/>
        </w:rPr>
        <w:t>A fs. 590 y vta., cursa </w:t>
      </w:r>
      <w:r w:rsidRPr="00CE0B87">
        <w:rPr>
          <w:rFonts w:ascii="Arial" w:eastAsia="Times New Roman" w:hAnsi="Arial" w:cs="Arial"/>
          <w:b/>
          <w:bCs/>
          <w:i/>
          <w:iCs/>
          <w:color w:val="000000"/>
          <w:sz w:val="24"/>
          <w:szCs w:val="24"/>
          <w:lang w:eastAsia="es-BO"/>
        </w:rPr>
        <w:t>Contrato de compra venta del derecho de posesión y mejoras de la propiedad rústica “Ayacucho III”</w:t>
      </w:r>
      <w:r w:rsidRPr="00CE0B87">
        <w:rPr>
          <w:rFonts w:ascii="Arial" w:eastAsia="Times New Roman" w:hAnsi="Arial" w:cs="Arial"/>
          <w:color w:val="000000"/>
          <w:sz w:val="24"/>
          <w:szCs w:val="24"/>
          <w:lang w:eastAsia="es-BO"/>
        </w:rPr>
        <w:t xml:space="preserve">, suscrito entre </w:t>
      </w:r>
      <w:proofErr w:type="spellStart"/>
      <w:r w:rsidRPr="00CE0B87">
        <w:rPr>
          <w:rFonts w:ascii="Arial" w:eastAsia="Times New Roman" w:hAnsi="Arial" w:cs="Arial"/>
          <w:color w:val="000000"/>
          <w:sz w:val="24"/>
          <w:szCs w:val="24"/>
          <w:lang w:eastAsia="es-BO"/>
        </w:rPr>
        <w:t>Joaquin</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y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sobre una superficie de 2607.1499 ha, suscrito el 30 de mayo de 1994.</w:t>
      </w:r>
    </w:p>
    <w:p w14:paraId="7991580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I.5.1.6. </w:t>
      </w:r>
      <w:r w:rsidRPr="00CE0B87">
        <w:rPr>
          <w:rFonts w:ascii="Arial" w:eastAsia="Times New Roman" w:hAnsi="Arial" w:cs="Arial"/>
          <w:color w:val="000000"/>
          <w:sz w:val="24"/>
          <w:szCs w:val="24"/>
          <w:lang w:eastAsia="es-BO"/>
        </w:rPr>
        <w:t>A fs. 591 y vta., cursa </w:t>
      </w:r>
      <w:r w:rsidRPr="00CE0B87">
        <w:rPr>
          <w:rFonts w:ascii="Arial" w:eastAsia="Times New Roman" w:hAnsi="Arial" w:cs="Arial"/>
          <w:b/>
          <w:bCs/>
          <w:i/>
          <w:iCs/>
          <w:color w:val="000000"/>
          <w:sz w:val="24"/>
          <w:szCs w:val="24"/>
          <w:lang w:eastAsia="es-BO"/>
        </w:rPr>
        <w:t>Contrato de Compra y Venta del derecho de posesión y mejoras de la propiedad rústica “Ayacucho II”</w:t>
      </w:r>
      <w:r w:rsidRPr="00CE0B87">
        <w:rPr>
          <w:rFonts w:ascii="Arial" w:eastAsia="Times New Roman" w:hAnsi="Arial" w:cs="Arial"/>
          <w:color w:val="000000"/>
          <w:sz w:val="24"/>
          <w:szCs w:val="24"/>
          <w:lang w:eastAsia="es-BO"/>
        </w:rPr>
        <w:t xml:space="preserve">, suscrito entre </w:t>
      </w:r>
      <w:proofErr w:type="spellStart"/>
      <w:r w:rsidRPr="00CE0B87">
        <w:rPr>
          <w:rFonts w:ascii="Arial" w:eastAsia="Times New Roman" w:hAnsi="Arial" w:cs="Arial"/>
          <w:color w:val="000000"/>
          <w:sz w:val="24"/>
          <w:szCs w:val="24"/>
          <w:lang w:eastAsia="es-BO"/>
        </w:rPr>
        <w:t>Joaquin</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y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representada por su madre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en una superficie de 2479.7699 ha, documento de 19 de mayo de 1994.</w:t>
      </w:r>
    </w:p>
    <w:p w14:paraId="57EA4E2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I.5.1.7. </w:t>
      </w:r>
      <w:r w:rsidRPr="00CE0B87">
        <w:rPr>
          <w:rFonts w:ascii="Arial" w:eastAsia="Times New Roman" w:hAnsi="Arial" w:cs="Arial"/>
          <w:color w:val="000000"/>
          <w:sz w:val="24"/>
          <w:szCs w:val="24"/>
          <w:lang w:eastAsia="es-BO"/>
        </w:rPr>
        <w:t>De fs. 675 a 678, cursa </w:t>
      </w:r>
      <w:r w:rsidRPr="00CE0B87">
        <w:rPr>
          <w:rFonts w:ascii="Arial" w:eastAsia="Times New Roman" w:hAnsi="Arial" w:cs="Arial"/>
          <w:b/>
          <w:bCs/>
          <w:i/>
          <w:iCs/>
          <w:color w:val="000000"/>
          <w:sz w:val="24"/>
          <w:szCs w:val="24"/>
          <w:lang w:eastAsia="es-BO"/>
        </w:rPr>
        <w:t>Informe Técnico Leal DDSC-CO I –INF. N° 01869/2015  de 06 de julio de 2015</w:t>
      </w:r>
      <w:r w:rsidRPr="00CE0B87">
        <w:rPr>
          <w:rFonts w:ascii="Arial" w:eastAsia="Times New Roman" w:hAnsi="Arial" w:cs="Arial"/>
          <w:color w:val="000000"/>
          <w:sz w:val="24"/>
          <w:szCs w:val="24"/>
          <w:lang w:eastAsia="es-BO"/>
        </w:rPr>
        <w:t>, de cuyo contenido concluye: “</w:t>
      </w:r>
      <w:r w:rsidRPr="00CE0B87">
        <w:rPr>
          <w:rFonts w:ascii="Arial" w:eastAsia="Times New Roman" w:hAnsi="Arial" w:cs="Arial"/>
          <w:i/>
          <w:iCs/>
          <w:color w:val="000000"/>
          <w:sz w:val="24"/>
          <w:szCs w:val="24"/>
          <w:lang w:eastAsia="es-BO"/>
        </w:rPr>
        <w:t>La </w:t>
      </w:r>
      <w:r w:rsidRPr="00CE0B87">
        <w:rPr>
          <w:rFonts w:ascii="Arial" w:eastAsia="Times New Roman" w:hAnsi="Arial" w:cs="Arial"/>
          <w:b/>
          <w:bCs/>
          <w:i/>
          <w:iCs/>
          <w:color w:val="000000"/>
          <w:sz w:val="24"/>
          <w:szCs w:val="24"/>
          <w:lang w:eastAsia="es-BO"/>
        </w:rPr>
        <w:t>NULIDAD</w:t>
      </w:r>
      <w:r w:rsidRPr="00CE0B87">
        <w:rPr>
          <w:rFonts w:ascii="Arial" w:eastAsia="Times New Roman" w:hAnsi="Arial" w:cs="Arial"/>
          <w:i/>
          <w:iCs/>
          <w:color w:val="000000"/>
          <w:sz w:val="24"/>
          <w:szCs w:val="24"/>
          <w:lang w:eastAsia="es-BO"/>
        </w:rPr>
        <w:t> de todo lo actuado hasta el vicio más antiguo es decir hasta el relevamiento de </w:t>
      </w:r>
      <w:r w:rsidRPr="00CE0B87">
        <w:rPr>
          <w:rFonts w:ascii="Arial" w:eastAsia="Times New Roman" w:hAnsi="Arial" w:cs="Arial"/>
          <w:b/>
          <w:bCs/>
          <w:i/>
          <w:iCs/>
          <w:color w:val="000000"/>
          <w:sz w:val="24"/>
          <w:szCs w:val="24"/>
          <w:lang w:eastAsia="es-BO"/>
        </w:rPr>
        <w:t>Información en Campo</w:t>
      </w:r>
      <w:r w:rsidRPr="00CE0B87">
        <w:rPr>
          <w:rFonts w:ascii="Arial" w:eastAsia="Times New Roman" w:hAnsi="Arial" w:cs="Arial"/>
          <w:i/>
          <w:iCs/>
          <w:color w:val="000000"/>
          <w:sz w:val="24"/>
          <w:szCs w:val="24"/>
          <w:lang w:eastAsia="es-BO"/>
        </w:rPr>
        <w:t>, incluidas estas, con respecto a los </w:t>
      </w:r>
      <w:r w:rsidRPr="00CE0B87">
        <w:rPr>
          <w:rFonts w:ascii="Arial" w:eastAsia="Times New Roman" w:hAnsi="Arial" w:cs="Arial"/>
          <w:b/>
          <w:bCs/>
          <w:i/>
          <w:iCs/>
          <w:color w:val="000000"/>
          <w:sz w:val="24"/>
          <w:szCs w:val="24"/>
          <w:lang w:eastAsia="es-BO"/>
        </w:rPr>
        <w:t>predios “AYACUCHO” y “TUNUMA”</w:t>
      </w:r>
      <w:r w:rsidRPr="00CE0B87">
        <w:rPr>
          <w:rFonts w:ascii="Arial" w:eastAsia="Times New Roman" w:hAnsi="Arial" w:cs="Arial"/>
          <w:i/>
          <w:iCs/>
          <w:color w:val="000000"/>
          <w:sz w:val="24"/>
          <w:szCs w:val="24"/>
          <w:lang w:eastAsia="es-BO"/>
        </w:rPr>
        <w:t> que cuenta con una superficie de </w:t>
      </w:r>
      <w:r w:rsidRPr="00CE0B87">
        <w:rPr>
          <w:rFonts w:ascii="Arial" w:eastAsia="Times New Roman" w:hAnsi="Arial" w:cs="Arial"/>
          <w:b/>
          <w:bCs/>
          <w:i/>
          <w:iCs/>
          <w:color w:val="000000"/>
          <w:sz w:val="24"/>
          <w:szCs w:val="24"/>
          <w:lang w:eastAsia="es-BO"/>
        </w:rPr>
        <w:t>9,157.4936 (Nueve mil ciento cincuenta y siete hectáreas con cuatro mil novecientos treinta y seis metros cuadrados), y 1,846.5688 ha (Un mil ochocientos cuarenta y seis hectáreas con cinco mil seiscientos ochenta y ocho metros cuadrados)</w:t>
      </w:r>
      <w:r w:rsidRPr="00CE0B87">
        <w:rPr>
          <w:rFonts w:ascii="Arial" w:eastAsia="Times New Roman" w:hAnsi="Arial" w:cs="Arial"/>
          <w:i/>
          <w:iCs/>
          <w:color w:val="000000"/>
          <w:sz w:val="24"/>
          <w:szCs w:val="24"/>
          <w:lang w:eastAsia="es-BO"/>
        </w:rPr>
        <w:t> respectivamente, correspondiente al municipio de San Rafael, provincia Velasco del departamento de Santa Cruz; por haberse evidenciado errores de fondo y forma </w:t>
      </w:r>
      <w:r w:rsidRPr="00CE0B87">
        <w:rPr>
          <w:rFonts w:ascii="Arial" w:eastAsia="Times New Roman" w:hAnsi="Arial" w:cs="Arial"/>
          <w:b/>
          <w:bCs/>
          <w:i/>
          <w:iCs/>
          <w:color w:val="000000"/>
          <w:sz w:val="24"/>
          <w:szCs w:val="24"/>
          <w:lang w:eastAsia="es-BO"/>
        </w:rPr>
        <w:t xml:space="preserve">(Resolución Determinativa sobrepuesta a áreas de predios </w:t>
      </w:r>
      <w:r w:rsidRPr="00CE0B87">
        <w:rPr>
          <w:rFonts w:ascii="Arial" w:eastAsia="Times New Roman" w:hAnsi="Arial" w:cs="Arial"/>
          <w:b/>
          <w:bCs/>
          <w:i/>
          <w:iCs/>
          <w:color w:val="000000"/>
          <w:sz w:val="24"/>
          <w:szCs w:val="24"/>
          <w:lang w:eastAsia="es-BO"/>
        </w:rPr>
        <w:lastRenderedPageBreak/>
        <w:t xml:space="preserve">titulados y/o con Resolución Final de Saneamiento, Resolución Determinativa e </w:t>
      </w:r>
      <w:proofErr w:type="spellStart"/>
      <w:r w:rsidRPr="00CE0B87">
        <w:rPr>
          <w:rFonts w:ascii="Arial" w:eastAsia="Times New Roman" w:hAnsi="Arial" w:cs="Arial"/>
          <w:b/>
          <w:bCs/>
          <w:i/>
          <w:iCs/>
          <w:color w:val="000000"/>
          <w:sz w:val="24"/>
          <w:szCs w:val="24"/>
          <w:lang w:eastAsia="es-BO"/>
        </w:rPr>
        <w:t>Instructoria</w:t>
      </w:r>
      <w:proofErr w:type="spellEnd"/>
      <w:r w:rsidRPr="00CE0B87">
        <w:rPr>
          <w:rFonts w:ascii="Arial" w:eastAsia="Times New Roman" w:hAnsi="Arial" w:cs="Arial"/>
          <w:b/>
          <w:bCs/>
          <w:i/>
          <w:iCs/>
          <w:color w:val="000000"/>
          <w:sz w:val="24"/>
          <w:szCs w:val="24"/>
          <w:lang w:eastAsia="es-BO"/>
        </w:rPr>
        <w:t xml:space="preserve"> sin firma de Responsable de Unidad, no hay constancia de publicación de Resolución de </w:t>
      </w:r>
      <w:proofErr w:type="spellStart"/>
      <w:r w:rsidRPr="00CE0B87">
        <w:rPr>
          <w:rFonts w:ascii="Arial" w:eastAsia="Times New Roman" w:hAnsi="Arial" w:cs="Arial"/>
          <w:b/>
          <w:bCs/>
          <w:i/>
          <w:iCs/>
          <w:color w:val="000000"/>
          <w:sz w:val="24"/>
          <w:szCs w:val="24"/>
          <w:lang w:eastAsia="es-BO"/>
        </w:rPr>
        <w:t>Instructoria</w:t>
      </w:r>
      <w:proofErr w:type="spellEnd"/>
      <w:r w:rsidRPr="00CE0B87">
        <w:rPr>
          <w:rFonts w:ascii="Arial" w:eastAsia="Times New Roman" w:hAnsi="Arial" w:cs="Arial"/>
          <w:b/>
          <w:bCs/>
          <w:i/>
          <w:iCs/>
          <w:color w:val="000000"/>
          <w:sz w:val="24"/>
          <w:szCs w:val="24"/>
          <w:lang w:eastAsia="es-BO"/>
        </w:rPr>
        <w:t xml:space="preserve"> en radioemisora, no participación de control social en relevamiento de campo, actuados de relevamiento de información en campo con observaciones, incoherencias en Resoluciones de </w:t>
      </w:r>
      <w:proofErr w:type="spellStart"/>
      <w:r w:rsidRPr="00CE0B87">
        <w:rPr>
          <w:rFonts w:ascii="Arial" w:eastAsia="Times New Roman" w:hAnsi="Arial" w:cs="Arial"/>
          <w:b/>
          <w:bCs/>
          <w:i/>
          <w:iCs/>
          <w:color w:val="000000"/>
          <w:sz w:val="24"/>
          <w:szCs w:val="24"/>
          <w:lang w:eastAsia="es-BO"/>
        </w:rPr>
        <w:t>repoligonización</w:t>
      </w:r>
      <w:proofErr w:type="spellEnd"/>
      <w:r w:rsidRPr="00CE0B87">
        <w:rPr>
          <w:rFonts w:ascii="Arial" w:eastAsia="Times New Roman" w:hAnsi="Arial" w:cs="Arial"/>
          <w:b/>
          <w:bCs/>
          <w:i/>
          <w:iCs/>
          <w:color w:val="000000"/>
          <w:sz w:val="24"/>
          <w:szCs w:val="24"/>
          <w:lang w:eastAsia="es-BO"/>
        </w:rPr>
        <w:t xml:space="preserve"> en cuanto a superficie final de polígono 116)</w:t>
      </w:r>
      <w:r w:rsidRPr="00CE0B87">
        <w:rPr>
          <w:rFonts w:ascii="Arial" w:eastAsia="Times New Roman" w:hAnsi="Arial" w:cs="Arial"/>
          <w:i/>
          <w:iCs/>
          <w:color w:val="000000"/>
          <w:sz w:val="24"/>
          <w:szCs w:val="24"/>
          <w:lang w:eastAsia="es-BO"/>
        </w:rPr>
        <w:t> todo ello de conformidad a la Disposición Transitoria Primera y Segunda art. 266 parágrafo IV inc. a) del D. S. N° 29215</w:t>
      </w:r>
      <w:r w:rsidRPr="00CE0B87">
        <w:rPr>
          <w:rFonts w:ascii="Arial" w:eastAsia="Times New Roman" w:hAnsi="Arial" w:cs="Arial"/>
          <w:color w:val="000000"/>
          <w:sz w:val="24"/>
          <w:szCs w:val="24"/>
          <w:lang w:eastAsia="es-BO"/>
        </w:rPr>
        <w:t>…”</w:t>
      </w:r>
    </w:p>
    <w:p w14:paraId="52C4C06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I.5.1.8. </w:t>
      </w:r>
      <w:r w:rsidRPr="00CE0B87">
        <w:rPr>
          <w:rFonts w:ascii="Arial" w:eastAsia="Times New Roman" w:hAnsi="Arial" w:cs="Arial"/>
          <w:color w:val="000000"/>
          <w:sz w:val="24"/>
          <w:szCs w:val="24"/>
          <w:lang w:eastAsia="es-BO"/>
        </w:rPr>
        <w:t>De fs. 679 a 681, cursa </w:t>
      </w:r>
      <w:r w:rsidRPr="00CE0B87">
        <w:rPr>
          <w:rFonts w:ascii="Arial" w:eastAsia="Times New Roman" w:hAnsi="Arial" w:cs="Arial"/>
          <w:b/>
          <w:bCs/>
          <w:i/>
          <w:iCs/>
          <w:color w:val="000000"/>
          <w:sz w:val="24"/>
          <w:szCs w:val="24"/>
          <w:lang w:eastAsia="es-BO"/>
        </w:rPr>
        <w:t>Resolución Administrativa RES.ADM.RA SS N° 0296/2015 de 07 de julio de 2015</w:t>
      </w:r>
      <w:r w:rsidRPr="00CE0B87">
        <w:rPr>
          <w:rFonts w:ascii="Arial" w:eastAsia="Times New Roman" w:hAnsi="Arial" w:cs="Arial"/>
          <w:color w:val="000000"/>
          <w:sz w:val="24"/>
          <w:szCs w:val="24"/>
          <w:lang w:eastAsia="es-BO"/>
        </w:rPr>
        <w:t>, que resuelve anular obrados dentro del proceso de Saneamiento Simple de Oficio, hasta el Relevamiento de Información en Campo, por haberse evidenciado errores de fondo y forma con relación a los predios “Ayacucho” y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w:t>
      </w:r>
    </w:p>
    <w:p w14:paraId="6115020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I.5.1.9. </w:t>
      </w:r>
      <w:r w:rsidRPr="00CE0B87">
        <w:rPr>
          <w:rFonts w:ascii="Arial" w:eastAsia="Times New Roman" w:hAnsi="Arial" w:cs="Arial"/>
          <w:color w:val="000000"/>
          <w:sz w:val="24"/>
          <w:szCs w:val="24"/>
          <w:lang w:eastAsia="es-BO"/>
        </w:rPr>
        <w:t>De fs. 743 a 746, cursa </w:t>
      </w:r>
      <w:r w:rsidRPr="00CE0B87">
        <w:rPr>
          <w:rFonts w:ascii="Arial" w:eastAsia="Times New Roman" w:hAnsi="Arial" w:cs="Arial"/>
          <w:b/>
          <w:bCs/>
          <w:i/>
          <w:iCs/>
          <w:color w:val="000000"/>
          <w:sz w:val="24"/>
          <w:szCs w:val="24"/>
          <w:lang w:eastAsia="es-BO"/>
        </w:rPr>
        <w:t>Ficha Catastral levantada el 27 de julio de 2015</w:t>
      </w:r>
      <w:r w:rsidRPr="00CE0B87">
        <w:rPr>
          <w:rFonts w:ascii="Arial" w:eastAsia="Times New Roman" w:hAnsi="Arial" w:cs="Arial"/>
          <w:color w:val="000000"/>
          <w:sz w:val="24"/>
          <w:szCs w:val="24"/>
          <w:lang w:eastAsia="es-BO"/>
        </w:rPr>
        <w:t>, </w:t>
      </w:r>
      <w:r w:rsidRPr="00CE0B87">
        <w:rPr>
          <w:rFonts w:ascii="Arial" w:eastAsia="Times New Roman" w:hAnsi="Arial" w:cs="Arial"/>
          <w:b/>
          <w:bCs/>
          <w:i/>
          <w:iCs/>
          <w:color w:val="000000"/>
          <w:sz w:val="24"/>
          <w:szCs w:val="24"/>
          <w:lang w:eastAsia="es-BO"/>
        </w:rPr>
        <w:t>con relación al predio “Ayacucho”</w:t>
      </w:r>
      <w:r w:rsidRPr="00CE0B87">
        <w:rPr>
          <w:rFonts w:ascii="Arial" w:eastAsia="Times New Roman" w:hAnsi="Arial" w:cs="Arial"/>
          <w:color w:val="000000"/>
          <w:sz w:val="24"/>
          <w:szCs w:val="24"/>
          <w:lang w:eastAsia="es-BO"/>
        </w:rPr>
        <w:t xml:space="preserve">, con una superficie declarada de 4.000,0000 ha a nombre de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que refiere como documentación presentada documento de identidad, documento de compra y venta y otros documentos, de otra parte, a fs. 746, cursa “Acta de Apersonamiento y Recepción de Documentos de 27 de julio de 2015”, en la cual se evidencia la presentación de los siguientes documentos: Cedula de identidad, documento de transferencias, plano referencial, certificado de vacunación, contratos de trabajadores y recibos.</w:t>
      </w:r>
    </w:p>
    <w:p w14:paraId="7DFBE0F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I.5.1.10. </w:t>
      </w:r>
      <w:r w:rsidRPr="00CE0B87">
        <w:rPr>
          <w:rFonts w:ascii="Arial" w:eastAsia="Times New Roman" w:hAnsi="Arial" w:cs="Arial"/>
          <w:color w:val="000000"/>
          <w:sz w:val="24"/>
          <w:szCs w:val="24"/>
          <w:lang w:eastAsia="es-BO"/>
        </w:rPr>
        <w:t>De fs. 755 a 756, cursa documento de </w:t>
      </w:r>
      <w:r w:rsidRPr="00CE0B87">
        <w:rPr>
          <w:rFonts w:ascii="Arial" w:eastAsia="Times New Roman" w:hAnsi="Arial" w:cs="Arial"/>
          <w:b/>
          <w:bCs/>
          <w:i/>
          <w:iCs/>
          <w:color w:val="000000"/>
          <w:sz w:val="24"/>
          <w:szCs w:val="24"/>
          <w:lang w:eastAsia="es-BO"/>
        </w:rPr>
        <w:t>Compra Venta de los Derechos de Posesión y Mejoras de una propiedad rústica y aclarativa sobre división y nombre de los predios, de 25 de octubre de 2010</w:t>
      </w:r>
      <w:r w:rsidRPr="00CE0B87">
        <w:rPr>
          <w:rFonts w:ascii="Arial" w:eastAsia="Times New Roman" w:hAnsi="Arial" w:cs="Arial"/>
          <w:color w:val="000000"/>
          <w:sz w:val="24"/>
          <w:szCs w:val="24"/>
          <w:lang w:eastAsia="es-BO"/>
        </w:rPr>
        <w:t xml:space="preserve">, suscrita entre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en favor de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en la que aclaran que la extensión superficial de 4.650  ha, denominada “Ayacucho”, queda en posesión de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y las restantes 4.725 ha, denominada “Ayacucho”, queda en posesión legal de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(misma documental que es presentada por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cursante de fs. 863 a 864 de los antecedentes).</w:t>
      </w:r>
    </w:p>
    <w:p w14:paraId="42F271CB" w14:textId="4F01658A"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I.5.1.11. </w:t>
      </w:r>
      <w:r w:rsidRPr="00CE0B87">
        <w:rPr>
          <w:rFonts w:ascii="Arial" w:eastAsia="Times New Roman" w:hAnsi="Arial" w:cs="Arial"/>
          <w:color w:val="000000"/>
          <w:sz w:val="24"/>
          <w:szCs w:val="24"/>
          <w:lang w:eastAsia="es-BO"/>
        </w:rPr>
        <w:t>De fs. 766 a 769</w:t>
      </w:r>
      <w:r w:rsidR="00A25B25" w:rsidRPr="00CE0B87">
        <w:rPr>
          <w:rFonts w:ascii="Arial" w:eastAsia="Times New Roman" w:hAnsi="Arial" w:cs="Arial"/>
          <w:color w:val="000000"/>
          <w:sz w:val="24"/>
          <w:szCs w:val="24"/>
          <w:lang w:eastAsia="es-BO"/>
        </w:rPr>
        <w:t xml:space="preserve"> vta.</w:t>
      </w:r>
      <w:r w:rsidRPr="00CE0B87">
        <w:rPr>
          <w:rFonts w:ascii="Arial" w:eastAsia="Times New Roman" w:hAnsi="Arial" w:cs="Arial"/>
          <w:color w:val="000000"/>
          <w:sz w:val="24"/>
          <w:szCs w:val="24"/>
          <w:lang w:eastAsia="es-BO"/>
        </w:rPr>
        <w:t>, cursa </w:t>
      </w:r>
      <w:r w:rsidRPr="00CE0B87">
        <w:rPr>
          <w:rFonts w:ascii="Arial" w:eastAsia="Times New Roman" w:hAnsi="Arial" w:cs="Arial"/>
          <w:b/>
          <w:bCs/>
          <w:i/>
          <w:iCs/>
          <w:color w:val="000000"/>
          <w:sz w:val="24"/>
          <w:szCs w:val="24"/>
          <w:lang w:eastAsia="es-BO"/>
        </w:rPr>
        <w:t>Contratos individuales de trabajo de 02 de agosto de 2010</w:t>
      </w:r>
      <w:r w:rsidRPr="00CE0B87">
        <w:rPr>
          <w:rFonts w:ascii="Arial" w:eastAsia="Times New Roman" w:hAnsi="Arial" w:cs="Arial"/>
          <w:color w:val="000000"/>
          <w:sz w:val="24"/>
          <w:szCs w:val="24"/>
          <w:lang w:eastAsia="es-BO"/>
        </w:rPr>
        <w:t>, suscritos por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y </w:t>
      </w:r>
      <w:proofErr w:type="spellStart"/>
      <w:r w:rsidRPr="00CE0B87">
        <w:rPr>
          <w:rFonts w:ascii="Arial" w:eastAsia="Times New Roman" w:hAnsi="Arial" w:cs="Arial"/>
          <w:color w:val="000000"/>
          <w:sz w:val="24"/>
          <w:szCs w:val="24"/>
          <w:lang w:val="es-ES" w:eastAsia="es-BO"/>
        </w:rPr>
        <w:t>Noriko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Kuniyoshi</w:t>
      </w:r>
      <w:proofErr w:type="spellEnd"/>
      <w:r w:rsidRPr="00CE0B87">
        <w:rPr>
          <w:rFonts w:ascii="Arial" w:eastAsia="Times New Roman" w:hAnsi="Arial" w:cs="Arial"/>
          <w:color w:val="000000"/>
          <w:sz w:val="24"/>
          <w:szCs w:val="24"/>
          <w:lang w:val="es-ES" w:eastAsia="es-BO"/>
        </w:rPr>
        <w:t xml:space="preserve"> (empleadores) y, por otra parte, Edgar Ortiz </w:t>
      </w:r>
      <w:proofErr w:type="spellStart"/>
      <w:r w:rsidRPr="00CE0B87">
        <w:rPr>
          <w:rFonts w:ascii="Arial" w:eastAsia="Times New Roman" w:hAnsi="Arial" w:cs="Arial"/>
          <w:color w:val="000000"/>
          <w:sz w:val="24"/>
          <w:szCs w:val="24"/>
          <w:lang w:val="es-ES" w:eastAsia="es-BO"/>
        </w:rPr>
        <w:t>Yriarte</w:t>
      </w:r>
      <w:proofErr w:type="spellEnd"/>
      <w:r w:rsidRPr="00CE0B87">
        <w:rPr>
          <w:rFonts w:ascii="Arial" w:eastAsia="Times New Roman" w:hAnsi="Arial" w:cs="Arial"/>
          <w:color w:val="000000"/>
          <w:sz w:val="24"/>
          <w:szCs w:val="24"/>
          <w:lang w:val="es-ES" w:eastAsia="es-BO"/>
        </w:rPr>
        <w:t xml:space="preserve">, que percibía el sueldo de Bs. 1.560;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cuyo sueldo era de Bs. </w:t>
      </w:r>
      <w:r w:rsidRPr="00CE0B87">
        <w:rPr>
          <w:rFonts w:ascii="Arial" w:eastAsia="Times New Roman" w:hAnsi="Arial" w:cs="Arial"/>
          <w:color w:val="000000"/>
          <w:sz w:val="24"/>
          <w:szCs w:val="24"/>
          <w:lang w:val="es-ES" w:eastAsia="es-BO"/>
        </w:rPr>
        <w:lastRenderedPageBreak/>
        <w:t xml:space="preserve">1.126.67; Benedicto Orellana </w:t>
      </w:r>
      <w:proofErr w:type="spellStart"/>
      <w:r w:rsidRPr="00CE0B87">
        <w:rPr>
          <w:rFonts w:ascii="Arial" w:eastAsia="Times New Roman" w:hAnsi="Arial" w:cs="Arial"/>
          <w:color w:val="000000"/>
          <w:sz w:val="24"/>
          <w:szCs w:val="24"/>
          <w:lang w:val="es-ES" w:eastAsia="es-BO"/>
        </w:rPr>
        <w:t>Colque</w:t>
      </w:r>
      <w:proofErr w:type="spellEnd"/>
      <w:r w:rsidRPr="00CE0B87">
        <w:rPr>
          <w:rFonts w:ascii="Arial" w:eastAsia="Times New Roman" w:hAnsi="Arial" w:cs="Arial"/>
          <w:color w:val="000000"/>
          <w:sz w:val="24"/>
          <w:szCs w:val="24"/>
          <w:lang w:val="es-ES" w:eastAsia="es-BO"/>
        </w:rPr>
        <w:t xml:space="preserve">, que percibía el sueldo de Bs. 1.126,67 e Hilarión Moreno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que recibía el sueldo de Bs. 1560.</w:t>
      </w:r>
    </w:p>
    <w:p w14:paraId="6A046192"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I.5.1.12. </w:t>
      </w:r>
      <w:r w:rsidRPr="00CE0B87">
        <w:rPr>
          <w:rFonts w:ascii="Arial" w:eastAsia="Times New Roman" w:hAnsi="Arial" w:cs="Arial"/>
          <w:color w:val="000000"/>
          <w:sz w:val="24"/>
          <w:szCs w:val="24"/>
          <w:lang w:eastAsia="es-BO"/>
        </w:rPr>
        <w:t>De fs. 770 a 772, cursa </w:t>
      </w:r>
      <w:r w:rsidRPr="00CE0B87">
        <w:rPr>
          <w:rFonts w:ascii="Arial" w:eastAsia="Times New Roman" w:hAnsi="Arial" w:cs="Arial"/>
          <w:b/>
          <w:bCs/>
          <w:i/>
          <w:iCs/>
          <w:color w:val="000000"/>
          <w:sz w:val="24"/>
          <w:szCs w:val="24"/>
          <w:lang w:eastAsia="es-BO"/>
        </w:rPr>
        <w:t>“Planilla de Sueldos y Salarios” de personal permanente del predio “Ayacucho”</w:t>
      </w:r>
      <w:r w:rsidRPr="00CE0B87">
        <w:rPr>
          <w:rFonts w:ascii="Arial" w:eastAsia="Times New Roman" w:hAnsi="Arial" w:cs="Arial"/>
          <w:color w:val="000000"/>
          <w:sz w:val="24"/>
          <w:szCs w:val="24"/>
          <w:lang w:eastAsia="es-BO"/>
        </w:rPr>
        <w:t>, correspondiente al mes de septiembre de 2013, agosto de 2014 y abril de 2015, en la cual se evidencia que el líquido pagable con relación a </w:t>
      </w:r>
      <w:r w:rsidRPr="00CE0B87">
        <w:rPr>
          <w:rFonts w:ascii="Arial" w:eastAsia="Times New Roman" w:hAnsi="Arial" w:cs="Arial"/>
          <w:color w:val="000000"/>
          <w:sz w:val="24"/>
          <w:szCs w:val="24"/>
          <w:lang w:val="es-ES" w:eastAsia="es-BO"/>
        </w:rPr>
        <w:t xml:space="preserve">Hilarión Moreno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xml:space="preserve">, es la suma de Bs. 1.003,84.-, Benedicto Orellana </w:t>
      </w:r>
      <w:proofErr w:type="spellStart"/>
      <w:r w:rsidRPr="00CE0B87">
        <w:rPr>
          <w:rFonts w:ascii="Arial" w:eastAsia="Times New Roman" w:hAnsi="Arial" w:cs="Arial"/>
          <w:color w:val="000000"/>
          <w:sz w:val="24"/>
          <w:szCs w:val="24"/>
          <w:lang w:val="es-ES" w:eastAsia="es-BO"/>
        </w:rPr>
        <w:t>Colque</w:t>
      </w:r>
      <w:proofErr w:type="spellEnd"/>
      <w:r w:rsidRPr="00CE0B87">
        <w:rPr>
          <w:rFonts w:ascii="Arial" w:eastAsia="Times New Roman" w:hAnsi="Arial" w:cs="Arial"/>
          <w:color w:val="000000"/>
          <w:sz w:val="24"/>
          <w:szCs w:val="24"/>
          <w:lang w:val="es-ES" w:eastAsia="es-BO"/>
        </w:rPr>
        <w:t xml:space="preserve">, la suma de Bs. 1.265,71.-, Edgar Ortiz </w:t>
      </w:r>
      <w:proofErr w:type="spellStart"/>
      <w:r w:rsidRPr="00CE0B87">
        <w:rPr>
          <w:rFonts w:ascii="Arial" w:eastAsia="Times New Roman" w:hAnsi="Arial" w:cs="Arial"/>
          <w:color w:val="000000"/>
          <w:sz w:val="24"/>
          <w:szCs w:val="24"/>
          <w:lang w:val="es-ES" w:eastAsia="es-BO"/>
        </w:rPr>
        <w:t>Yriarte</w:t>
      </w:r>
      <w:proofErr w:type="spellEnd"/>
      <w:r w:rsidRPr="00CE0B87">
        <w:rPr>
          <w:rFonts w:ascii="Arial" w:eastAsia="Times New Roman" w:hAnsi="Arial" w:cs="Arial"/>
          <w:color w:val="000000"/>
          <w:sz w:val="24"/>
          <w:szCs w:val="24"/>
          <w:lang w:val="es-ES" w:eastAsia="es-BO"/>
        </w:rPr>
        <w:t xml:space="preserve">, la suma de Bs. 1.702,16.- y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la suma de Bs. 1.003,84.</w:t>
      </w:r>
    </w:p>
    <w:p w14:paraId="451FFC4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I.5.1.13. </w:t>
      </w:r>
      <w:r w:rsidRPr="00CE0B87">
        <w:rPr>
          <w:rFonts w:ascii="Arial" w:eastAsia="Times New Roman" w:hAnsi="Arial" w:cs="Arial"/>
          <w:color w:val="000000"/>
          <w:sz w:val="24"/>
          <w:szCs w:val="24"/>
          <w:lang w:eastAsia="es-BO"/>
        </w:rPr>
        <w:t>De fs. 773 a 775, cursa </w:t>
      </w:r>
      <w:r w:rsidRPr="00CE0B87">
        <w:rPr>
          <w:rFonts w:ascii="Arial" w:eastAsia="Times New Roman" w:hAnsi="Arial" w:cs="Arial"/>
          <w:b/>
          <w:bCs/>
          <w:i/>
          <w:iCs/>
          <w:color w:val="000000"/>
          <w:sz w:val="24"/>
          <w:szCs w:val="24"/>
          <w:lang w:eastAsia="es-BO"/>
        </w:rPr>
        <w:t>“Planillas de Sueldos y Salarios”</w:t>
      </w:r>
      <w:r w:rsidRPr="00CE0B87">
        <w:rPr>
          <w:rFonts w:ascii="Arial" w:eastAsia="Times New Roman" w:hAnsi="Arial" w:cs="Arial"/>
          <w:color w:val="000000"/>
          <w:sz w:val="24"/>
          <w:szCs w:val="24"/>
          <w:lang w:eastAsia="es-BO"/>
        </w:rPr>
        <w:t> de personal permanente del predio “Ayacucho I”, correspondiente a los años 2013, 2014 y 2015, en la cual se evidencia que el líquido pagable con relación a </w:t>
      </w:r>
      <w:r w:rsidRPr="00CE0B87">
        <w:rPr>
          <w:rFonts w:ascii="Arial" w:eastAsia="Times New Roman" w:hAnsi="Arial" w:cs="Arial"/>
          <w:color w:val="000000"/>
          <w:sz w:val="24"/>
          <w:szCs w:val="24"/>
          <w:lang w:val="es-ES" w:eastAsia="es-BO"/>
        </w:rPr>
        <w:t xml:space="preserve">José María Bejarano Ortiz, es la suma de Bs. 1.265,71.-, Mauricio Casia Gonzales, el monto de Bs. 1.702,16.-; Ronald </w:t>
      </w:r>
      <w:proofErr w:type="spellStart"/>
      <w:r w:rsidRPr="00CE0B87">
        <w:rPr>
          <w:rFonts w:ascii="Arial" w:eastAsia="Times New Roman" w:hAnsi="Arial" w:cs="Arial"/>
          <w:color w:val="000000"/>
          <w:sz w:val="24"/>
          <w:szCs w:val="24"/>
          <w:lang w:val="es-ES" w:eastAsia="es-BO"/>
        </w:rPr>
        <w:t>Choma</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Supayave</w:t>
      </w:r>
      <w:proofErr w:type="spellEnd"/>
      <w:r w:rsidRPr="00CE0B87">
        <w:rPr>
          <w:rFonts w:ascii="Arial" w:eastAsia="Times New Roman" w:hAnsi="Arial" w:cs="Arial"/>
          <w:color w:val="000000"/>
          <w:sz w:val="24"/>
          <w:szCs w:val="24"/>
          <w:lang w:val="es-ES" w:eastAsia="es-BO"/>
        </w:rPr>
        <w:t xml:space="preserve">, la suma de Bs. 829.26.- y Osmar Carmelo Corpa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el monto de Bs. 1.265,71.</w:t>
      </w:r>
    </w:p>
    <w:p w14:paraId="771EDCC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I.5.1.14. </w:t>
      </w:r>
      <w:r w:rsidRPr="00CE0B87">
        <w:rPr>
          <w:rFonts w:ascii="Arial" w:eastAsia="Times New Roman" w:hAnsi="Arial" w:cs="Arial"/>
          <w:color w:val="000000"/>
          <w:sz w:val="24"/>
          <w:szCs w:val="24"/>
          <w:lang w:eastAsia="es-BO"/>
        </w:rPr>
        <w:t>De fs. 776 a 779, cursa </w:t>
      </w:r>
      <w:r w:rsidRPr="00CE0B87">
        <w:rPr>
          <w:rFonts w:ascii="Arial" w:eastAsia="Times New Roman" w:hAnsi="Arial" w:cs="Arial"/>
          <w:b/>
          <w:bCs/>
          <w:i/>
          <w:iCs/>
          <w:color w:val="000000"/>
          <w:sz w:val="24"/>
          <w:szCs w:val="24"/>
          <w:lang w:eastAsia="es-BO"/>
        </w:rPr>
        <w:t>“Boletas de Pago” </w:t>
      </w:r>
      <w:r w:rsidRPr="00CE0B87">
        <w:rPr>
          <w:rFonts w:ascii="Arial" w:eastAsia="Times New Roman" w:hAnsi="Arial" w:cs="Arial"/>
          <w:color w:val="000000"/>
          <w:sz w:val="24"/>
          <w:szCs w:val="24"/>
          <w:lang w:eastAsia="es-BO"/>
        </w:rPr>
        <w:t>de</w:t>
      </w:r>
      <w:r w:rsidRPr="00CE0B87">
        <w:rPr>
          <w:rFonts w:ascii="Arial" w:eastAsia="Times New Roman" w:hAnsi="Arial" w:cs="Arial"/>
          <w:b/>
          <w:bCs/>
          <w:i/>
          <w:iCs/>
          <w:color w:val="000000"/>
          <w:sz w:val="24"/>
          <w:szCs w:val="24"/>
          <w:lang w:eastAsia="es-BO"/>
        </w:rPr>
        <w:t> </w:t>
      </w:r>
      <w:r w:rsidRPr="00CE0B87">
        <w:rPr>
          <w:rFonts w:ascii="Arial" w:eastAsia="Times New Roman" w:hAnsi="Arial" w:cs="Arial"/>
          <w:color w:val="000000"/>
          <w:sz w:val="24"/>
          <w:szCs w:val="24"/>
          <w:lang w:val="es-ES" w:eastAsia="es-BO"/>
        </w:rPr>
        <w:t>abril, 2015, agosto 2014 y septiembre de 2013</w:t>
      </w:r>
      <w:r w:rsidRPr="00CE0B87">
        <w:rPr>
          <w:rFonts w:ascii="Arial" w:eastAsia="Times New Roman" w:hAnsi="Arial" w:cs="Arial"/>
          <w:color w:val="000000"/>
          <w:sz w:val="24"/>
          <w:szCs w:val="24"/>
          <w:lang w:eastAsia="es-BO"/>
        </w:rPr>
        <w:t>, en las que se evidencia que el líquido pagable cancelado con relación a </w:t>
      </w:r>
      <w:r w:rsidRPr="00CE0B87">
        <w:rPr>
          <w:rFonts w:ascii="Arial" w:eastAsia="Times New Roman" w:hAnsi="Arial" w:cs="Arial"/>
          <w:color w:val="000000"/>
          <w:sz w:val="24"/>
          <w:szCs w:val="24"/>
          <w:lang w:val="es-ES" w:eastAsia="es-BO"/>
        </w:rPr>
        <w:t xml:space="preserve">Hilarión Moreno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xml:space="preserve">, en la suma de Bs. 1.003,84.-, Benedicto Orellana </w:t>
      </w:r>
      <w:proofErr w:type="spellStart"/>
      <w:r w:rsidRPr="00CE0B87">
        <w:rPr>
          <w:rFonts w:ascii="Arial" w:eastAsia="Times New Roman" w:hAnsi="Arial" w:cs="Arial"/>
          <w:color w:val="000000"/>
          <w:sz w:val="24"/>
          <w:szCs w:val="24"/>
          <w:lang w:val="es-ES" w:eastAsia="es-BO"/>
        </w:rPr>
        <w:t>Colque</w:t>
      </w:r>
      <w:proofErr w:type="spellEnd"/>
      <w:r w:rsidRPr="00CE0B87">
        <w:rPr>
          <w:rFonts w:ascii="Arial" w:eastAsia="Times New Roman" w:hAnsi="Arial" w:cs="Arial"/>
          <w:color w:val="000000"/>
          <w:sz w:val="24"/>
          <w:szCs w:val="24"/>
          <w:lang w:val="es-ES" w:eastAsia="es-BO"/>
        </w:rPr>
        <w:t xml:space="preserve">, la suma de Bs. 1.265,71.-, Edgar Ortiz </w:t>
      </w:r>
      <w:proofErr w:type="spellStart"/>
      <w:r w:rsidRPr="00CE0B87">
        <w:rPr>
          <w:rFonts w:ascii="Arial" w:eastAsia="Times New Roman" w:hAnsi="Arial" w:cs="Arial"/>
          <w:color w:val="000000"/>
          <w:sz w:val="24"/>
          <w:szCs w:val="24"/>
          <w:lang w:val="es-ES" w:eastAsia="es-BO"/>
        </w:rPr>
        <w:t>Yriarte</w:t>
      </w:r>
      <w:proofErr w:type="spellEnd"/>
      <w:r w:rsidRPr="00CE0B87">
        <w:rPr>
          <w:rFonts w:ascii="Arial" w:eastAsia="Times New Roman" w:hAnsi="Arial" w:cs="Arial"/>
          <w:color w:val="000000"/>
          <w:sz w:val="24"/>
          <w:szCs w:val="24"/>
          <w:lang w:val="es-ES" w:eastAsia="es-BO"/>
        </w:rPr>
        <w:t xml:space="preserve">, el monto de Bs. 1.702,16.- y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la suma de Bs. 1.003,84.</w:t>
      </w:r>
    </w:p>
    <w:p w14:paraId="467E56F5" w14:textId="53B4A3ED"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w:t>
      </w:r>
      <w:r w:rsidR="00204C97" w:rsidRPr="00CE0B87">
        <w:rPr>
          <w:rFonts w:ascii="Arial" w:eastAsia="Times New Roman" w:hAnsi="Arial" w:cs="Arial"/>
          <w:b/>
          <w:bCs/>
          <w:color w:val="000000"/>
          <w:sz w:val="24"/>
          <w:szCs w:val="24"/>
          <w:lang w:eastAsia="es-BO"/>
        </w:rPr>
        <w:t>5</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De fs. 852 a 854, cursa </w:t>
      </w:r>
      <w:r w:rsidRPr="00CE0B87">
        <w:rPr>
          <w:rFonts w:ascii="Arial" w:eastAsia="Times New Roman" w:hAnsi="Arial" w:cs="Arial"/>
          <w:b/>
          <w:bCs/>
          <w:i/>
          <w:iCs/>
          <w:color w:val="000000"/>
          <w:sz w:val="24"/>
          <w:szCs w:val="24"/>
          <w:lang w:eastAsia="es-BO"/>
        </w:rPr>
        <w:t>Ficha Catastral levantada el 27 de julio de 2015, con relación al predio “Ayacucho I”</w:t>
      </w:r>
      <w:r w:rsidRPr="00CE0B87">
        <w:rPr>
          <w:rFonts w:ascii="Arial" w:eastAsia="Times New Roman" w:hAnsi="Arial" w:cs="Arial"/>
          <w:color w:val="000000"/>
          <w:sz w:val="24"/>
          <w:szCs w:val="24"/>
          <w:lang w:eastAsia="es-BO"/>
        </w:rPr>
        <w:t xml:space="preserve">, con una superficie declarada de 4.000,0000 ha, a nombre de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que refiere como documentación presentada Testimonio, Folio Real o tarjeta de propiedad, documento de identidad y documento de compra y venta, de otra parte, a fs. 854, cursa “Acta de Apersonamiento y Recepción de Documentos”, en la cual se evidencia la presentación de los siguientes documentos: Cédula de identidad, Testimonio N° 49/87 Transferencia, Testimonio N° 91 Transferencia, Folio Real DD.RR. N° 5189916, documento de transferencia, plano referencial, Certificado de vacunación, Contrato Individual de Trabajo.</w:t>
      </w:r>
    </w:p>
    <w:p w14:paraId="77DAD73B" w14:textId="5E538EFC"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w:t>
      </w:r>
      <w:r w:rsidR="00204C97" w:rsidRPr="00CE0B87">
        <w:rPr>
          <w:rFonts w:ascii="Arial" w:eastAsia="Times New Roman" w:hAnsi="Arial" w:cs="Arial"/>
          <w:b/>
          <w:bCs/>
          <w:color w:val="000000"/>
          <w:sz w:val="24"/>
          <w:szCs w:val="24"/>
          <w:lang w:eastAsia="es-BO"/>
        </w:rPr>
        <w:t>6</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De fs. 872 a 875 vta., cursan cuatro (4) </w:t>
      </w:r>
      <w:r w:rsidRPr="00CE0B87">
        <w:rPr>
          <w:rFonts w:ascii="Arial" w:eastAsia="Times New Roman" w:hAnsi="Arial" w:cs="Arial"/>
          <w:b/>
          <w:bCs/>
          <w:i/>
          <w:iCs/>
          <w:color w:val="000000"/>
          <w:sz w:val="24"/>
          <w:szCs w:val="24"/>
          <w:lang w:eastAsia="es-BO"/>
        </w:rPr>
        <w:t>Contratos Individuales de Trabajo</w:t>
      </w:r>
      <w:r w:rsidRPr="00CE0B87">
        <w:rPr>
          <w:rFonts w:ascii="Arial" w:eastAsia="Times New Roman" w:hAnsi="Arial" w:cs="Arial"/>
          <w:color w:val="000000"/>
          <w:sz w:val="24"/>
          <w:szCs w:val="24"/>
          <w:lang w:eastAsia="es-BO"/>
        </w:rPr>
        <w:t xml:space="preserve">, suscrito por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(Empleador), con: </w:t>
      </w:r>
      <w:r w:rsidRPr="00CE0B87">
        <w:rPr>
          <w:rFonts w:ascii="Arial" w:eastAsia="Times New Roman" w:hAnsi="Arial" w:cs="Arial"/>
          <w:color w:val="000000"/>
          <w:sz w:val="24"/>
          <w:szCs w:val="24"/>
          <w:lang w:val="es-ES" w:eastAsia="es-BO"/>
        </w:rPr>
        <w:t xml:space="preserve">Mauricio Casia Gonzales cuyo sueldo era la suma de Bs. 1.560, Osmar Carmelo Corpa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xml:space="preserve">, la suma de Bs. 1.560, </w:t>
      </w:r>
      <w:proofErr w:type="spellStart"/>
      <w:r w:rsidRPr="00CE0B87">
        <w:rPr>
          <w:rFonts w:ascii="Arial" w:eastAsia="Times New Roman" w:hAnsi="Arial" w:cs="Arial"/>
          <w:color w:val="000000"/>
          <w:sz w:val="24"/>
          <w:szCs w:val="24"/>
          <w:lang w:val="es-ES" w:eastAsia="es-BO"/>
        </w:rPr>
        <w:t>Ronal</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Choma</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Supayabe</w:t>
      </w:r>
      <w:proofErr w:type="spellEnd"/>
      <w:r w:rsidRPr="00CE0B87">
        <w:rPr>
          <w:rFonts w:ascii="Arial" w:eastAsia="Times New Roman" w:hAnsi="Arial" w:cs="Arial"/>
          <w:color w:val="000000"/>
          <w:sz w:val="24"/>
          <w:szCs w:val="24"/>
          <w:lang w:val="es-ES" w:eastAsia="es-BO"/>
        </w:rPr>
        <w:t xml:space="preserve"> la suma de Bs. 1.560 y José María Bejarano Ortiz la suma de Bs. 1.126 (Trabajadores), suscritos el 02 de agosto de 2010 y el 26 de octubre de 2011, según corresponde.</w:t>
      </w:r>
    </w:p>
    <w:p w14:paraId="217FF7A9" w14:textId="323D0321"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I.5.1.1</w:t>
      </w:r>
      <w:r w:rsidR="00204C97" w:rsidRPr="00CE0B87">
        <w:rPr>
          <w:rFonts w:ascii="Arial" w:eastAsia="Times New Roman" w:hAnsi="Arial" w:cs="Arial"/>
          <w:b/>
          <w:bCs/>
          <w:color w:val="000000"/>
          <w:sz w:val="24"/>
          <w:szCs w:val="24"/>
          <w:lang w:eastAsia="es-BO"/>
        </w:rPr>
        <w:t>7</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De fs. 884 a 899, cursa </w:t>
      </w:r>
      <w:r w:rsidRPr="00CE0B87">
        <w:rPr>
          <w:rFonts w:ascii="Arial" w:eastAsia="Times New Roman" w:hAnsi="Arial" w:cs="Arial"/>
          <w:b/>
          <w:bCs/>
          <w:i/>
          <w:iCs/>
          <w:color w:val="000000"/>
          <w:sz w:val="24"/>
          <w:szCs w:val="24"/>
          <w:lang w:eastAsia="es-BO"/>
        </w:rPr>
        <w:t>Fotografías de Mejoras,</w:t>
      </w:r>
      <w:r w:rsidRPr="00CE0B87">
        <w:rPr>
          <w:rFonts w:ascii="Arial" w:eastAsia="Times New Roman" w:hAnsi="Arial" w:cs="Arial"/>
          <w:color w:val="000000"/>
          <w:sz w:val="24"/>
          <w:szCs w:val="24"/>
          <w:lang w:eastAsia="es-BO"/>
        </w:rPr>
        <w:t> con relación al predio “Ayacucho I”</w:t>
      </w:r>
    </w:p>
    <w:p w14:paraId="454CC05F" w14:textId="4B997694"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lastRenderedPageBreak/>
        <w:t>I.5.1.1</w:t>
      </w:r>
      <w:r w:rsidR="00204C97" w:rsidRPr="00CE0B87">
        <w:rPr>
          <w:rFonts w:ascii="Arial" w:eastAsia="Times New Roman" w:hAnsi="Arial" w:cs="Arial"/>
          <w:b/>
          <w:bCs/>
          <w:color w:val="000000"/>
          <w:sz w:val="24"/>
          <w:szCs w:val="24"/>
          <w:lang w:eastAsia="es-BO"/>
        </w:rPr>
        <w:t>8</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De fs. 1026 a 1029, cursa </w:t>
      </w:r>
      <w:r w:rsidRPr="00CE0B87">
        <w:rPr>
          <w:rFonts w:ascii="Arial" w:eastAsia="Times New Roman" w:hAnsi="Arial" w:cs="Arial"/>
          <w:b/>
          <w:bCs/>
          <w:i/>
          <w:iCs/>
          <w:color w:val="000000"/>
          <w:sz w:val="24"/>
          <w:szCs w:val="24"/>
          <w:lang w:eastAsia="es-BO"/>
        </w:rPr>
        <w:t>Informe Técnico Complementario al Diagnostico DDSC-CO-I-INF. N° 2134/2015 de 29 de junio de 2015</w:t>
      </w:r>
      <w:r w:rsidRPr="00CE0B87">
        <w:rPr>
          <w:rFonts w:ascii="Arial" w:eastAsia="Times New Roman" w:hAnsi="Arial" w:cs="Arial"/>
          <w:color w:val="000000"/>
          <w:sz w:val="24"/>
          <w:szCs w:val="24"/>
          <w:lang w:eastAsia="es-BO"/>
        </w:rPr>
        <w:t>, de relevamiento de expedientes N° 12395, 58128 y 20519, con relación a los predios mensurados en campo denominados “Ayacucho”, “Ayacucho I” y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xml:space="preserve">”, y la correspondiente identificación de </w:t>
      </w:r>
      <w:proofErr w:type="spellStart"/>
      <w:r w:rsidRPr="00CE0B87">
        <w:rPr>
          <w:rFonts w:ascii="Arial" w:eastAsia="Times New Roman" w:hAnsi="Arial" w:cs="Arial"/>
          <w:color w:val="000000"/>
          <w:sz w:val="24"/>
          <w:szCs w:val="24"/>
          <w:lang w:eastAsia="es-BO"/>
        </w:rPr>
        <w:t>sobreposición</w:t>
      </w:r>
      <w:proofErr w:type="spellEnd"/>
      <w:r w:rsidRPr="00CE0B87">
        <w:rPr>
          <w:rFonts w:ascii="Arial" w:eastAsia="Times New Roman" w:hAnsi="Arial" w:cs="Arial"/>
          <w:color w:val="000000"/>
          <w:sz w:val="24"/>
          <w:szCs w:val="24"/>
          <w:lang w:eastAsia="es-BO"/>
        </w:rPr>
        <w:t xml:space="preserve"> entre “expedientes agrarios”.</w:t>
      </w:r>
    </w:p>
    <w:p w14:paraId="2C7CDC46" w14:textId="08F80FB0"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w:t>
      </w:r>
      <w:r w:rsidR="00204C97" w:rsidRPr="00CE0B87">
        <w:rPr>
          <w:rFonts w:ascii="Arial" w:eastAsia="Times New Roman" w:hAnsi="Arial" w:cs="Arial"/>
          <w:b/>
          <w:bCs/>
          <w:color w:val="000000"/>
          <w:sz w:val="24"/>
          <w:szCs w:val="24"/>
          <w:lang w:eastAsia="es-BO"/>
        </w:rPr>
        <w:t>19</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De fs. 1088 a 1099, cursa </w:t>
      </w:r>
      <w:r w:rsidRPr="00CE0B87">
        <w:rPr>
          <w:rFonts w:ascii="Arial" w:eastAsia="Times New Roman" w:hAnsi="Arial" w:cs="Arial"/>
          <w:b/>
          <w:bCs/>
          <w:i/>
          <w:iCs/>
          <w:color w:val="000000"/>
          <w:sz w:val="24"/>
          <w:szCs w:val="24"/>
          <w:lang w:eastAsia="es-BO"/>
        </w:rPr>
        <w:t>Informe en Conclusiones Saneamiento de Oficio (SAN – SIM) Titulado-en Trámite-Posesión, de 30 de octubre de 2015</w:t>
      </w:r>
      <w:r w:rsidRPr="00CE0B87">
        <w:rPr>
          <w:rFonts w:ascii="Arial" w:eastAsia="Times New Roman" w:hAnsi="Arial" w:cs="Arial"/>
          <w:color w:val="000000"/>
          <w:sz w:val="24"/>
          <w:szCs w:val="24"/>
          <w:lang w:eastAsia="es-BO"/>
        </w:rPr>
        <w:t>, que concluye sugiriendo Anular la Sentencia 10/09/1990 y </w:t>
      </w:r>
      <w:r w:rsidRPr="00CE0B87">
        <w:rPr>
          <w:rFonts w:ascii="Arial" w:eastAsia="Times New Roman" w:hAnsi="Arial" w:cs="Arial"/>
          <w:b/>
          <w:bCs/>
          <w:i/>
          <w:iCs/>
          <w:color w:val="000000"/>
          <w:sz w:val="24"/>
          <w:szCs w:val="24"/>
          <w:lang w:eastAsia="es-BO"/>
        </w:rPr>
        <w:t>trámite agrario de dotación N° 58128</w:t>
      </w:r>
      <w:r w:rsidRPr="00CE0B87">
        <w:rPr>
          <w:rFonts w:ascii="Arial" w:eastAsia="Times New Roman" w:hAnsi="Arial" w:cs="Arial"/>
          <w:color w:val="000000"/>
          <w:sz w:val="24"/>
          <w:szCs w:val="24"/>
          <w:lang w:eastAsia="es-BO"/>
        </w:rPr>
        <w:t xml:space="preserve"> del predio denominado “Ayacucho”, otorgado a favor de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con la superficie de 7,003.7850 ha, se encuentra afectado con vicos de nulidad absoluta y se disponga el archivo definitivo de obrados; Anulatoria del Título Ejecutorial Proindiviso  N° 380523, con antecedente en la Resolución Suprema N° 140787 y el </w:t>
      </w:r>
      <w:r w:rsidRPr="00CE0B87">
        <w:rPr>
          <w:rFonts w:ascii="Arial" w:eastAsia="Times New Roman" w:hAnsi="Arial" w:cs="Arial"/>
          <w:b/>
          <w:bCs/>
          <w:i/>
          <w:iCs/>
          <w:color w:val="000000"/>
          <w:sz w:val="24"/>
          <w:szCs w:val="24"/>
          <w:lang w:eastAsia="es-BO"/>
        </w:rPr>
        <w:t>expediente N° 12395,</w:t>
      </w:r>
      <w:r w:rsidRPr="00CE0B87">
        <w:rPr>
          <w:rFonts w:ascii="Arial" w:eastAsia="Times New Roman" w:hAnsi="Arial" w:cs="Arial"/>
          <w:color w:val="000000"/>
          <w:sz w:val="24"/>
          <w:szCs w:val="24"/>
          <w:lang w:eastAsia="es-BO"/>
        </w:rPr>
        <w:t> al haberse establecido vicios de nulidad relativa e incumplimiento de la función económica social del predio “Ayacucho”, otorgado a favor de Antonio Parabas y otros, con la superficie de 700.0000 ha, disponiéndose el archivo definitivo de obrados; Anulatoria del Título Ejecutorial Individual N° 380522, con antecedente en la Resolución Suprema N° 140787 de 02 de agosto de 1967, del </w:t>
      </w:r>
      <w:r w:rsidRPr="00CE0B87">
        <w:rPr>
          <w:rFonts w:ascii="Arial" w:eastAsia="Times New Roman" w:hAnsi="Arial" w:cs="Arial"/>
          <w:b/>
          <w:bCs/>
          <w:i/>
          <w:iCs/>
          <w:color w:val="000000"/>
          <w:sz w:val="24"/>
          <w:szCs w:val="24"/>
          <w:lang w:eastAsia="es-BO"/>
        </w:rPr>
        <w:t>Expediente Agrario de Dotación N° 12395</w:t>
      </w:r>
      <w:r w:rsidRPr="00CE0B87">
        <w:rPr>
          <w:rFonts w:ascii="Arial" w:eastAsia="Times New Roman" w:hAnsi="Arial" w:cs="Arial"/>
          <w:color w:val="000000"/>
          <w:sz w:val="24"/>
          <w:szCs w:val="24"/>
          <w:lang w:eastAsia="es-BO"/>
        </w:rPr>
        <w:t xml:space="preserve">, denominado “Ayacucho” y vía conversión y adjudicación otorgar nuevo Título Ejecutorial en Copropiedad a favor de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y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el predio “Ayacucho” en una superficie de 5,000.0000 ha, clasificada como propiedad Empresarial con actividad ganadera; Adjudicación Simple y Titulación de la posesión legal  del predio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xml:space="preserve">” a favor de </w:t>
      </w:r>
      <w:proofErr w:type="spellStart"/>
      <w:r w:rsidRPr="00CE0B87">
        <w:rPr>
          <w:rFonts w:ascii="Arial" w:eastAsia="Times New Roman" w:hAnsi="Arial" w:cs="Arial"/>
          <w:color w:val="000000"/>
          <w:sz w:val="24"/>
          <w:szCs w:val="24"/>
          <w:lang w:eastAsia="es-BO"/>
        </w:rPr>
        <w:t>Randolfo</w:t>
      </w:r>
      <w:proofErr w:type="spellEnd"/>
      <w:r w:rsidRPr="00CE0B87">
        <w:rPr>
          <w:rFonts w:ascii="Arial" w:eastAsia="Times New Roman" w:hAnsi="Arial" w:cs="Arial"/>
          <w:color w:val="000000"/>
          <w:sz w:val="24"/>
          <w:szCs w:val="24"/>
          <w:lang w:eastAsia="es-BO"/>
        </w:rPr>
        <w:t xml:space="preserve"> Saravia Flores, con una superficie de 1846.5668 ha, clasificada como Mediana propiedad con actividad ganadera; y, declarar Tierra Fiscal la superficie de 4,120.8454 ha, consecuente del recorte del predio “Ayacucho”.</w:t>
      </w:r>
    </w:p>
    <w:p w14:paraId="4D1B2226" w14:textId="23452A33"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I.5.1.2</w:t>
      </w:r>
      <w:r w:rsidR="00204C97" w:rsidRPr="00CE0B87">
        <w:rPr>
          <w:rFonts w:ascii="Arial" w:eastAsia="Times New Roman" w:hAnsi="Arial" w:cs="Arial"/>
          <w:b/>
          <w:bCs/>
          <w:color w:val="000000"/>
          <w:sz w:val="24"/>
          <w:szCs w:val="24"/>
          <w:lang w:eastAsia="es-BO"/>
        </w:rPr>
        <w:t>0</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De fs. 1315 a 1326, cursa </w:t>
      </w:r>
      <w:r w:rsidRPr="00CE0B87">
        <w:rPr>
          <w:rFonts w:ascii="Arial" w:eastAsia="Times New Roman" w:hAnsi="Arial" w:cs="Arial"/>
          <w:b/>
          <w:bCs/>
          <w:i/>
          <w:iCs/>
          <w:color w:val="000000"/>
          <w:sz w:val="24"/>
          <w:szCs w:val="24"/>
          <w:lang w:eastAsia="es-BO"/>
        </w:rPr>
        <w:t>Informe Técnico Legal JRLL-SCN-INF-SAN No 36/2020 de 14 de febrero de 2020</w:t>
      </w:r>
      <w:r w:rsidRPr="00CE0B87">
        <w:rPr>
          <w:rFonts w:ascii="Arial" w:eastAsia="Times New Roman" w:hAnsi="Arial" w:cs="Arial"/>
          <w:color w:val="000000"/>
          <w:sz w:val="24"/>
          <w:szCs w:val="24"/>
          <w:lang w:eastAsia="es-BO"/>
        </w:rPr>
        <w:t xml:space="preserve">, de cuyo Análisis Técnico Legal modifica las conclusiones y sugerencias del Informe en Conclusiones de 30 de octubre de 2015, respecto de los predios “Ayacucho” y “Ayacucho I”, conforme al siguiente detalle: Anular el Título Ejecutorial Individual N° 380522, con antecedente en la Resolución Suprema N° 140787 de 02 de agosto de 1967, del expediente agrario de dotación N° 12395, denominados Ayacucho y Ayacucho I, subsanando los vicios de nulidad relativa y vía conversión y adjudicación otorgar nuevos títulos ejecutoriales individuales a favor de sus actuales </w:t>
      </w:r>
      <w:proofErr w:type="spellStart"/>
      <w:r w:rsidRPr="00CE0B87">
        <w:rPr>
          <w:rFonts w:ascii="Arial" w:eastAsia="Times New Roman" w:hAnsi="Arial" w:cs="Arial"/>
          <w:color w:val="000000"/>
          <w:sz w:val="24"/>
          <w:szCs w:val="24"/>
          <w:lang w:eastAsia="es-BO"/>
        </w:rPr>
        <w:t>subadquirentes</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y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sobre el predio “Ayacucho”, en una superficie </w:t>
      </w:r>
      <w:r w:rsidRPr="00CE0B87">
        <w:rPr>
          <w:rFonts w:ascii="Arial" w:eastAsia="Times New Roman" w:hAnsi="Arial" w:cs="Arial"/>
          <w:color w:val="000000"/>
          <w:sz w:val="24"/>
          <w:szCs w:val="24"/>
          <w:lang w:eastAsia="es-BO"/>
        </w:rPr>
        <w:lastRenderedPageBreak/>
        <w:t xml:space="preserve">total de 4049.5817 ha, clasificada como propiedad empresarial con actividad ganadera; y por otra parte, otorgar 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sobre el predio “Ayacucho I”, la superficie de 5050.7483 ha, clasificada como propiedad empresarial con actividad ganadera.   </w:t>
      </w:r>
    </w:p>
    <w:p w14:paraId="24F9F8E7" w14:textId="012480CD" w:rsidR="00820DA6" w:rsidRPr="00CE0B87" w:rsidRDefault="00820DA6" w:rsidP="00CE0B87">
      <w:pPr>
        <w:spacing w:after="0" w:line="360" w:lineRule="auto"/>
        <w:jc w:val="both"/>
        <w:rPr>
          <w:rFonts w:ascii="Arial" w:eastAsia="Times New Roman" w:hAnsi="Arial" w:cs="Arial"/>
          <w:color w:val="000000"/>
          <w:sz w:val="24"/>
          <w:szCs w:val="24"/>
          <w:lang w:val="es-ES" w:eastAsia="es-BO"/>
        </w:rPr>
      </w:pPr>
      <w:r w:rsidRPr="00CE0B87">
        <w:rPr>
          <w:rFonts w:ascii="Arial" w:eastAsia="Times New Roman" w:hAnsi="Arial" w:cs="Arial"/>
          <w:b/>
          <w:bCs/>
          <w:color w:val="000000"/>
          <w:sz w:val="24"/>
          <w:szCs w:val="24"/>
          <w:lang w:eastAsia="es-BO"/>
        </w:rPr>
        <w:t>I.5.1.2</w:t>
      </w:r>
      <w:r w:rsidR="00204C97" w:rsidRPr="00CE0B87">
        <w:rPr>
          <w:rFonts w:ascii="Arial" w:eastAsia="Times New Roman" w:hAnsi="Arial" w:cs="Arial"/>
          <w:b/>
          <w:bCs/>
          <w:color w:val="000000"/>
          <w:sz w:val="24"/>
          <w:szCs w:val="24"/>
          <w:lang w:eastAsia="es-BO"/>
        </w:rPr>
        <w:t>1</w:t>
      </w:r>
      <w:r w:rsidRPr="00CE0B87">
        <w:rPr>
          <w:rFonts w:ascii="Arial" w:eastAsia="Times New Roman" w:hAnsi="Arial" w:cs="Arial"/>
          <w:b/>
          <w:bCs/>
          <w:color w:val="000000"/>
          <w:sz w:val="24"/>
          <w:szCs w:val="24"/>
          <w:lang w:eastAsia="es-BO"/>
        </w:rPr>
        <w:t>.</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De fs. 1357 a 136</w:t>
      </w:r>
      <w:r w:rsidR="00204C97" w:rsidRPr="00CE0B87">
        <w:rPr>
          <w:rFonts w:ascii="Arial" w:eastAsia="Times New Roman" w:hAnsi="Arial" w:cs="Arial"/>
          <w:color w:val="000000"/>
          <w:sz w:val="24"/>
          <w:szCs w:val="24"/>
          <w:lang w:val="es-ES" w:eastAsia="es-BO"/>
        </w:rPr>
        <w:t>8</w:t>
      </w:r>
      <w:r w:rsidRPr="00CE0B87">
        <w:rPr>
          <w:rFonts w:ascii="Arial" w:eastAsia="Times New Roman" w:hAnsi="Arial" w:cs="Arial"/>
          <w:color w:val="000000"/>
          <w:sz w:val="24"/>
          <w:szCs w:val="24"/>
          <w:lang w:val="es-ES" w:eastAsia="es-BO"/>
        </w:rPr>
        <w:t>, cursa </w:t>
      </w:r>
      <w:r w:rsidRPr="00CE0B87">
        <w:rPr>
          <w:rFonts w:ascii="Arial" w:eastAsia="Times New Roman" w:hAnsi="Arial" w:cs="Arial"/>
          <w:b/>
          <w:bCs/>
          <w:i/>
          <w:iCs/>
          <w:color w:val="000000"/>
          <w:sz w:val="24"/>
          <w:szCs w:val="24"/>
          <w:lang w:val="es-ES" w:eastAsia="es-BO"/>
        </w:rPr>
        <w:t>Resolución Suprema 26918 de 21 de octubre de 2020</w:t>
      </w:r>
      <w:r w:rsidRPr="00CE0B87">
        <w:rPr>
          <w:rFonts w:ascii="Arial" w:eastAsia="Times New Roman" w:hAnsi="Arial" w:cs="Arial"/>
          <w:color w:val="000000"/>
          <w:sz w:val="24"/>
          <w:szCs w:val="24"/>
          <w:lang w:val="es-ES" w:eastAsia="es-BO"/>
        </w:rPr>
        <w:t xml:space="preserve">, y sus respectivos Planos Catastrales, emitida dentro del proceso de Saneamiento Simple de Oficio (SAN-SIM), respecto del polígono N° 137, correspondiente a los predios denominados “Ayacucho”, “Ayacucho I” y “Tunuma”, ubicado en el municipio San Rafael, provincia Velasco del departamento de Santa Cruz, resolución que en lo principal resolvió adjudicar a favor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y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el predio denominado “Ayacucho”, en una superficie de 2114.8371 ha, identificada como propiedad empresarial, con actividad ganadera; a Joaquín Eguez París el predio denominado “Ayacucho I”, en una superficie de 5050.7483 ha, identificada como propiedad empresarial, con actividad ganadera; y a Randolfo Saravia Flores, el predio denominado “Tunuma” en una superficie de 1846.5688 ha, identificada como propiedad mediana, con actividad ganadera.</w:t>
      </w:r>
    </w:p>
    <w:p w14:paraId="706DDA90" w14:textId="548BD06D" w:rsidR="00027A96" w:rsidRPr="00CE0B87" w:rsidRDefault="00027A9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I.5.1.22.</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De fs. 1462 a 1464, cursa Informe Técnico legal DGST-INF-SAN N° 285/2021, de 24 de septiembre de 2021, por el cual se sugiere una vez aprobado el presente informe Técnico Legal se debe poner a conocimiento del Viceministerio de Tierras, las carpetas de saneamiento de los predios Ayacucho y Ayacucho I, a fin de que el ente administrativo mencionado pueda analizar la pertinencia del inicio de la demanda contenciosa administrativa ante el Tribunal Agroambiental.</w:t>
      </w:r>
    </w:p>
    <w:p w14:paraId="24CE7B6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I.5.2. Actuados procesales y documentales relevantes cursantes en obrados.</w:t>
      </w:r>
    </w:p>
    <w:p w14:paraId="205FFA5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_tradnl" w:eastAsia="es-BO"/>
        </w:rPr>
        <w:t>De los actuados y documentales relevantes cursantes en obrados, dentro del proceso contencioso administrativo, signado con el N° 4414-DCA-2021, se tiene lo siguiente:</w:t>
      </w:r>
    </w:p>
    <w:p w14:paraId="1D1323F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I.5.2.1.</w:t>
      </w:r>
      <w:r w:rsidRPr="00CE0B87">
        <w:rPr>
          <w:rFonts w:ascii="Arial" w:eastAsia="Times New Roman" w:hAnsi="Arial" w:cs="Arial"/>
          <w:color w:val="000000"/>
          <w:sz w:val="24"/>
          <w:szCs w:val="24"/>
          <w:lang w:val="es-ES_tradnl" w:eastAsia="es-BO"/>
        </w:rPr>
        <w:t> De fs. 13 a 39, cursa </w:t>
      </w:r>
      <w:r w:rsidRPr="00CE0B87">
        <w:rPr>
          <w:rFonts w:ascii="Arial" w:eastAsia="Times New Roman" w:hAnsi="Arial" w:cs="Arial"/>
          <w:b/>
          <w:bCs/>
          <w:i/>
          <w:iCs/>
          <w:color w:val="000000"/>
          <w:sz w:val="24"/>
          <w:szCs w:val="24"/>
          <w:lang w:val="es-ES_tradnl" w:eastAsia="es-BO"/>
        </w:rPr>
        <w:t>Informe Técnico INF/VT/DGT/UST/0131-2021 de 21 de octubre de 2021</w:t>
      </w:r>
      <w:r w:rsidRPr="00CE0B87">
        <w:rPr>
          <w:rFonts w:ascii="Arial" w:eastAsia="Times New Roman" w:hAnsi="Arial" w:cs="Arial"/>
          <w:color w:val="000000"/>
          <w:sz w:val="24"/>
          <w:szCs w:val="24"/>
          <w:lang w:val="es-ES_tradnl" w:eastAsia="es-BO"/>
        </w:rPr>
        <w:t>, elaborado por el Viceministerio de Tierras, con relación a los predios mensurados denominados “Ayacucho”, “Ayacucho I” y “</w:t>
      </w:r>
      <w:proofErr w:type="spellStart"/>
      <w:r w:rsidRPr="00CE0B87">
        <w:rPr>
          <w:rFonts w:ascii="Arial" w:eastAsia="Times New Roman" w:hAnsi="Arial" w:cs="Arial"/>
          <w:color w:val="000000"/>
          <w:sz w:val="24"/>
          <w:szCs w:val="24"/>
          <w:lang w:val="es-ES_tradnl" w:eastAsia="es-BO"/>
        </w:rPr>
        <w:t>Tunuma</w:t>
      </w:r>
      <w:proofErr w:type="spellEnd"/>
      <w:r w:rsidRPr="00CE0B87">
        <w:rPr>
          <w:rFonts w:ascii="Arial" w:eastAsia="Times New Roman" w:hAnsi="Arial" w:cs="Arial"/>
          <w:color w:val="000000"/>
          <w:sz w:val="24"/>
          <w:szCs w:val="24"/>
          <w:lang w:val="es-ES_tradnl" w:eastAsia="es-BO"/>
        </w:rPr>
        <w:t xml:space="preserve">”, a través del cual se realizó el relevamiento de los Expedientes N° 12395, 58128, 20519, así como el cuadro de relación y mosaico de sobreposición de los mismos, análisis del plano de transferencia del predio “Santa Rita”, Análisis </w:t>
      </w:r>
      <w:proofErr w:type="spellStart"/>
      <w:r w:rsidRPr="00CE0B87">
        <w:rPr>
          <w:rFonts w:ascii="Arial" w:eastAsia="Times New Roman" w:hAnsi="Arial" w:cs="Arial"/>
          <w:color w:val="000000"/>
          <w:sz w:val="24"/>
          <w:szCs w:val="24"/>
          <w:lang w:val="es-ES_tradnl" w:eastAsia="es-BO"/>
        </w:rPr>
        <w:t>Multitemporal</w:t>
      </w:r>
      <w:proofErr w:type="spellEnd"/>
      <w:r w:rsidRPr="00CE0B87">
        <w:rPr>
          <w:rFonts w:ascii="Arial" w:eastAsia="Times New Roman" w:hAnsi="Arial" w:cs="Arial"/>
          <w:color w:val="000000"/>
          <w:sz w:val="24"/>
          <w:szCs w:val="24"/>
          <w:lang w:val="es-ES_tradnl" w:eastAsia="es-BO"/>
        </w:rPr>
        <w:t xml:space="preserve"> sobre imágenes de satélite, las actividades de deforestación de los predios, entre otros aspectos. </w:t>
      </w:r>
    </w:p>
    <w:p w14:paraId="0256633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I.5.2.2.</w:t>
      </w:r>
      <w:r w:rsidRPr="00CE0B87">
        <w:rPr>
          <w:rFonts w:ascii="Arial" w:eastAsia="Times New Roman" w:hAnsi="Arial" w:cs="Arial"/>
          <w:color w:val="000000"/>
          <w:sz w:val="24"/>
          <w:szCs w:val="24"/>
          <w:lang w:val="es-ES_tradnl" w:eastAsia="es-BO"/>
        </w:rPr>
        <w:t> A</w:t>
      </w:r>
      <w:r w:rsidRPr="00CE0B87">
        <w:rPr>
          <w:rFonts w:ascii="Arial" w:eastAsia="Times New Roman" w:hAnsi="Arial" w:cs="Arial"/>
          <w:b/>
          <w:bCs/>
          <w:color w:val="000000"/>
          <w:sz w:val="24"/>
          <w:szCs w:val="24"/>
          <w:lang w:val="es-ES_tradnl" w:eastAsia="es-BO"/>
        </w:rPr>
        <w:t> </w:t>
      </w:r>
      <w:r w:rsidRPr="00CE0B87">
        <w:rPr>
          <w:rFonts w:ascii="Arial" w:eastAsia="Times New Roman" w:hAnsi="Arial" w:cs="Arial"/>
          <w:color w:val="000000"/>
          <w:sz w:val="24"/>
          <w:szCs w:val="24"/>
          <w:lang w:val="es-ES_tradnl" w:eastAsia="es-BO"/>
        </w:rPr>
        <w:t>fs. 510 y vta. de obrados, cursa </w:t>
      </w:r>
      <w:r w:rsidRPr="00CE0B87">
        <w:rPr>
          <w:rFonts w:ascii="Arial" w:eastAsia="Times New Roman" w:hAnsi="Arial" w:cs="Arial"/>
          <w:b/>
          <w:bCs/>
          <w:i/>
          <w:iCs/>
          <w:color w:val="000000"/>
          <w:sz w:val="24"/>
          <w:szCs w:val="24"/>
          <w:lang w:val="es-ES_tradnl" w:eastAsia="es-BO"/>
        </w:rPr>
        <w:t>Declaración voluntaria N° 97/2023 de 31 de enero de 2023</w:t>
      </w:r>
      <w:r w:rsidRPr="00CE0B87">
        <w:rPr>
          <w:rFonts w:ascii="Arial" w:eastAsia="Times New Roman" w:hAnsi="Arial" w:cs="Arial"/>
          <w:color w:val="000000"/>
          <w:sz w:val="24"/>
          <w:szCs w:val="24"/>
          <w:lang w:val="es-ES_tradnl" w:eastAsia="es-BO"/>
        </w:rPr>
        <w:t xml:space="preserve">, realizado por Renán </w:t>
      </w:r>
      <w:proofErr w:type="spellStart"/>
      <w:r w:rsidRPr="00CE0B87">
        <w:rPr>
          <w:rFonts w:ascii="Arial" w:eastAsia="Times New Roman" w:hAnsi="Arial" w:cs="Arial"/>
          <w:color w:val="000000"/>
          <w:sz w:val="24"/>
          <w:szCs w:val="24"/>
          <w:lang w:val="es-ES_tradnl" w:eastAsia="es-BO"/>
        </w:rPr>
        <w:t>Yllescas</w:t>
      </w:r>
      <w:proofErr w:type="spellEnd"/>
      <w:r w:rsidRPr="00CE0B87">
        <w:rPr>
          <w:rFonts w:ascii="Arial" w:eastAsia="Times New Roman" w:hAnsi="Arial" w:cs="Arial"/>
          <w:color w:val="000000"/>
          <w:sz w:val="24"/>
          <w:szCs w:val="24"/>
          <w:lang w:val="es-ES_tradnl" w:eastAsia="es-BO"/>
        </w:rPr>
        <w:t xml:space="preserve"> Gonzales, quien refiere que fue </w:t>
      </w:r>
      <w:r w:rsidRPr="00CE0B87">
        <w:rPr>
          <w:rFonts w:ascii="Arial" w:eastAsia="Times New Roman" w:hAnsi="Arial" w:cs="Arial"/>
          <w:color w:val="000000"/>
          <w:sz w:val="24"/>
          <w:szCs w:val="24"/>
          <w:lang w:val="es-ES_tradnl" w:eastAsia="es-BO"/>
        </w:rPr>
        <w:lastRenderedPageBreak/>
        <w:t xml:space="preserve">nombrado representante de Joaquín </w:t>
      </w:r>
      <w:proofErr w:type="spellStart"/>
      <w:r w:rsidRPr="00CE0B87">
        <w:rPr>
          <w:rFonts w:ascii="Arial" w:eastAsia="Times New Roman" w:hAnsi="Arial" w:cs="Arial"/>
          <w:color w:val="000000"/>
          <w:sz w:val="24"/>
          <w:szCs w:val="24"/>
          <w:lang w:val="es-ES_tradnl" w:eastAsia="es-BO"/>
        </w:rPr>
        <w:t>Eguez</w:t>
      </w:r>
      <w:proofErr w:type="spellEnd"/>
      <w:r w:rsidRPr="00CE0B87">
        <w:rPr>
          <w:rFonts w:ascii="Arial" w:eastAsia="Times New Roman" w:hAnsi="Arial" w:cs="Arial"/>
          <w:color w:val="000000"/>
          <w:sz w:val="24"/>
          <w:szCs w:val="24"/>
          <w:lang w:val="es-ES_tradnl" w:eastAsia="es-BO"/>
        </w:rPr>
        <w:t xml:space="preserve"> París, propietario del predio “Ayacucho I”, para participar en las actividades de campo dentro del trámite de saneamiento del polígono N° 137, señalando que por un error involuntario y la premura del tiempo llenaron planillas de sueldo rápidamente para presentar al INRA, incurriendo en errores de sueldos de los trabajadores</w:t>
      </w:r>
      <w:r w:rsidRPr="00CE0B87">
        <w:rPr>
          <w:rFonts w:ascii="Arial" w:eastAsia="Times New Roman" w:hAnsi="Arial" w:cs="Arial"/>
          <w:color w:val="000000"/>
          <w:sz w:val="24"/>
          <w:szCs w:val="24"/>
          <w:lang w:val="es-ES" w:eastAsia="es-BO"/>
        </w:rPr>
        <w:t xml:space="preserve"> Mauricio Casia Gonzales, Osmar Carmelo Corpa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xml:space="preserve">, José María Bejarano Ortiz y Ronald </w:t>
      </w:r>
      <w:proofErr w:type="spellStart"/>
      <w:r w:rsidRPr="00CE0B87">
        <w:rPr>
          <w:rFonts w:ascii="Arial" w:eastAsia="Times New Roman" w:hAnsi="Arial" w:cs="Arial"/>
          <w:color w:val="000000"/>
          <w:sz w:val="24"/>
          <w:szCs w:val="24"/>
          <w:lang w:val="es-ES" w:eastAsia="es-BO"/>
        </w:rPr>
        <w:t>Choma</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Supayabe</w:t>
      </w:r>
      <w:proofErr w:type="spellEnd"/>
      <w:r w:rsidRPr="00CE0B87">
        <w:rPr>
          <w:rFonts w:ascii="Arial" w:eastAsia="Times New Roman" w:hAnsi="Arial" w:cs="Arial"/>
          <w:color w:val="000000"/>
          <w:sz w:val="24"/>
          <w:szCs w:val="24"/>
          <w:lang w:val="es-ES_tradnl" w:eastAsia="es-BO"/>
        </w:rPr>
        <w:t>, generando planillas que no correspondía a la realidad, a tal efecto, adjunta a la fecha de la referida declaración las planillas correctas con relación a los citados trabajadores.</w:t>
      </w:r>
    </w:p>
    <w:p w14:paraId="4729E5B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I.5.2.3. </w:t>
      </w:r>
      <w:r w:rsidRPr="00CE0B87">
        <w:rPr>
          <w:rFonts w:ascii="Arial" w:eastAsia="Times New Roman" w:hAnsi="Arial" w:cs="Arial"/>
          <w:color w:val="000000"/>
          <w:sz w:val="24"/>
          <w:szCs w:val="24"/>
          <w:lang w:val="es-ES_tradnl" w:eastAsia="es-BO"/>
        </w:rPr>
        <w:t>De fs. 512 a 513, cursa </w:t>
      </w:r>
      <w:r w:rsidRPr="00CE0B87">
        <w:rPr>
          <w:rFonts w:ascii="Arial" w:eastAsia="Times New Roman" w:hAnsi="Arial" w:cs="Arial"/>
          <w:b/>
          <w:bCs/>
          <w:i/>
          <w:iCs/>
          <w:color w:val="000000"/>
          <w:sz w:val="24"/>
          <w:szCs w:val="24"/>
          <w:lang w:val="es-ES_tradnl" w:eastAsia="es-BO"/>
        </w:rPr>
        <w:t>Declaración Voluntaria de 14 de abril de 2022, de Casia Gonzales Mauricio</w:t>
      </w:r>
      <w:r w:rsidRPr="00CE0B87">
        <w:rPr>
          <w:rFonts w:ascii="Arial" w:eastAsia="Times New Roman" w:hAnsi="Arial" w:cs="Arial"/>
          <w:color w:val="000000"/>
          <w:sz w:val="24"/>
          <w:szCs w:val="24"/>
          <w:lang w:val="es-ES_tradnl" w:eastAsia="es-BO"/>
        </w:rPr>
        <w:t>, quien declara que siempre recibieron salarios en montos superiores consignados en el salario mínimo vital establecido en resguardo de sus derechos y garantías, de donde se infiere que no es conforme a la verdad material, es decir, a la realidad, calificar al predio “Ayacucho I” como un predio con régimen servidumbral. </w:t>
      </w:r>
    </w:p>
    <w:p w14:paraId="2D5E6D0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I.5.2.4. </w:t>
      </w:r>
      <w:r w:rsidRPr="00CE0B87">
        <w:rPr>
          <w:rFonts w:ascii="Arial" w:eastAsia="Times New Roman" w:hAnsi="Arial" w:cs="Arial"/>
          <w:color w:val="000000"/>
          <w:sz w:val="24"/>
          <w:szCs w:val="24"/>
          <w:lang w:val="es-ES_tradnl" w:eastAsia="es-BO"/>
        </w:rPr>
        <w:t>De fs.</w:t>
      </w:r>
      <w:r w:rsidRPr="00CE0B87">
        <w:rPr>
          <w:rFonts w:ascii="Arial" w:eastAsia="Times New Roman" w:hAnsi="Arial" w:cs="Arial"/>
          <w:b/>
          <w:bCs/>
          <w:color w:val="000000"/>
          <w:sz w:val="24"/>
          <w:szCs w:val="24"/>
          <w:lang w:val="es-ES_tradnl" w:eastAsia="es-BO"/>
        </w:rPr>
        <w:t> </w:t>
      </w:r>
      <w:r w:rsidRPr="00CE0B87">
        <w:rPr>
          <w:rFonts w:ascii="Arial" w:eastAsia="Times New Roman" w:hAnsi="Arial" w:cs="Arial"/>
          <w:color w:val="000000"/>
          <w:sz w:val="24"/>
          <w:szCs w:val="24"/>
          <w:lang w:val="es-ES_tradnl" w:eastAsia="es-BO"/>
        </w:rPr>
        <w:t>528 a 530, cursa Declaración Voluntaria N° 27/2023</w:t>
      </w:r>
      <w:r w:rsidRPr="00CE0B87">
        <w:rPr>
          <w:rFonts w:ascii="Arial" w:eastAsia="Times New Roman" w:hAnsi="Arial" w:cs="Arial"/>
          <w:b/>
          <w:bCs/>
          <w:color w:val="000000"/>
          <w:sz w:val="24"/>
          <w:szCs w:val="24"/>
          <w:lang w:val="es-ES_tradnl" w:eastAsia="es-BO"/>
        </w:rPr>
        <w:t> </w:t>
      </w:r>
      <w:r w:rsidRPr="00CE0B87">
        <w:rPr>
          <w:rFonts w:ascii="Arial" w:eastAsia="Times New Roman" w:hAnsi="Arial" w:cs="Arial"/>
          <w:color w:val="000000"/>
          <w:sz w:val="24"/>
          <w:szCs w:val="24"/>
          <w:lang w:val="es-ES_tradnl" w:eastAsia="es-BO"/>
        </w:rPr>
        <w:t xml:space="preserve">realizado por Carlos Savilla Romero, quien refiere que fue nombrado representante de Diana </w:t>
      </w:r>
      <w:proofErr w:type="spellStart"/>
      <w:r w:rsidRPr="00CE0B87">
        <w:rPr>
          <w:rFonts w:ascii="Arial" w:eastAsia="Times New Roman" w:hAnsi="Arial" w:cs="Arial"/>
          <w:color w:val="000000"/>
          <w:sz w:val="24"/>
          <w:szCs w:val="24"/>
          <w:lang w:val="es-ES_tradnl" w:eastAsia="es-BO"/>
        </w:rPr>
        <w:t>Maeshiro</w:t>
      </w:r>
      <w:proofErr w:type="spellEnd"/>
      <w:r w:rsidRPr="00CE0B87">
        <w:rPr>
          <w:rFonts w:ascii="Arial" w:eastAsia="Times New Roman" w:hAnsi="Arial" w:cs="Arial"/>
          <w:color w:val="000000"/>
          <w:sz w:val="24"/>
          <w:szCs w:val="24"/>
          <w:lang w:val="es-ES_tradnl" w:eastAsia="es-BO"/>
        </w:rPr>
        <w:t xml:space="preserve"> </w:t>
      </w:r>
      <w:proofErr w:type="spellStart"/>
      <w:r w:rsidRPr="00CE0B87">
        <w:rPr>
          <w:rFonts w:ascii="Arial" w:eastAsia="Times New Roman" w:hAnsi="Arial" w:cs="Arial"/>
          <w:color w:val="000000"/>
          <w:sz w:val="24"/>
          <w:szCs w:val="24"/>
          <w:lang w:val="es-ES_tradnl" w:eastAsia="es-BO"/>
        </w:rPr>
        <w:t>Kochi</w:t>
      </w:r>
      <w:proofErr w:type="spellEnd"/>
      <w:r w:rsidRPr="00CE0B87">
        <w:rPr>
          <w:rFonts w:ascii="Arial" w:eastAsia="Times New Roman" w:hAnsi="Arial" w:cs="Arial"/>
          <w:color w:val="000000"/>
          <w:sz w:val="24"/>
          <w:szCs w:val="24"/>
          <w:lang w:val="es-ES_tradnl" w:eastAsia="es-BO"/>
        </w:rPr>
        <w:t xml:space="preserve">, </w:t>
      </w:r>
      <w:proofErr w:type="spellStart"/>
      <w:r w:rsidRPr="00CE0B87">
        <w:rPr>
          <w:rFonts w:ascii="Arial" w:eastAsia="Times New Roman" w:hAnsi="Arial" w:cs="Arial"/>
          <w:color w:val="000000"/>
          <w:sz w:val="24"/>
          <w:szCs w:val="24"/>
          <w:lang w:val="es-ES_tradnl" w:eastAsia="es-BO"/>
        </w:rPr>
        <w:t>Noriko</w:t>
      </w:r>
      <w:proofErr w:type="spellEnd"/>
      <w:r w:rsidRPr="00CE0B87">
        <w:rPr>
          <w:rFonts w:ascii="Arial" w:eastAsia="Times New Roman" w:hAnsi="Arial" w:cs="Arial"/>
          <w:color w:val="000000"/>
          <w:sz w:val="24"/>
          <w:szCs w:val="24"/>
          <w:lang w:val="es-ES_tradnl" w:eastAsia="es-BO"/>
        </w:rPr>
        <w:t xml:space="preserve"> </w:t>
      </w:r>
      <w:proofErr w:type="spellStart"/>
      <w:r w:rsidRPr="00CE0B87">
        <w:rPr>
          <w:rFonts w:ascii="Arial" w:eastAsia="Times New Roman" w:hAnsi="Arial" w:cs="Arial"/>
          <w:color w:val="000000"/>
          <w:sz w:val="24"/>
          <w:szCs w:val="24"/>
          <w:lang w:val="es-ES_tradnl" w:eastAsia="es-BO"/>
        </w:rPr>
        <w:t>Kochi</w:t>
      </w:r>
      <w:proofErr w:type="spellEnd"/>
      <w:r w:rsidRPr="00CE0B87">
        <w:rPr>
          <w:rFonts w:ascii="Arial" w:eastAsia="Times New Roman" w:hAnsi="Arial" w:cs="Arial"/>
          <w:color w:val="000000"/>
          <w:sz w:val="24"/>
          <w:szCs w:val="24"/>
          <w:lang w:val="es-ES_tradnl" w:eastAsia="es-BO"/>
        </w:rPr>
        <w:t xml:space="preserve"> de </w:t>
      </w:r>
      <w:proofErr w:type="spellStart"/>
      <w:r w:rsidRPr="00CE0B87">
        <w:rPr>
          <w:rFonts w:ascii="Arial" w:eastAsia="Times New Roman" w:hAnsi="Arial" w:cs="Arial"/>
          <w:color w:val="000000"/>
          <w:sz w:val="24"/>
          <w:szCs w:val="24"/>
          <w:lang w:val="es-ES_tradnl" w:eastAsia="es-BO"/>
        </w:rPr>
        <w:t>Kuniyoshi</w:t>
      </w:r>
      <w:proofErr w:type="spellEnd"/>
      <w:r w:rsidRPr="00CE0B87">
        <w:rPr>
          <w:rFonts w:ascii="Arial" w:eastAsia="Times New Roman" w:hAnsi="Arial" w:cs="Arial"/>
          <w:color w:val="000000"/>
          <w:sz w:val="24"/>
          <w:szCs w:val="24"/>
          <w:lang w:val="es-ES_tradnl" w:eastAsia="es-BO"/>
        </w:rPr>
        <w:t xml:space="preserve"> y </w:t>
      </w:r>
      <w:proofErr w:type="spellStart"/>
      <w:r w:rsidRPr="00CE0B87">
        <w:rPr>
          <w:rFonts w:ascii="Arial" w:eastAsia="Times New Roman" w:hAnsi="Arial" w:cs="Arial"/>
          <w:color w:val="000000"/>
          <w:sz w:val="24"/>
          <w:szCs w:val="24"/>
          <w:lang w:val="es-ES_tradnl" w:eastAsia="es-BO"/>
        </w:rPr>
        <w:t>Ayako</w:t>
      </w:r>
      <w:proofErr w:type="spellEnd"/>
      <w:r w:rsidRPr="00CE0B87">
        <w:rPr>
          <w:rFonts w:ascii="Arial" w:eastAsia="Times New Roman" w:hAnsi="Arial" w:cs="Arial"/>
          <w:color w:val="000000"/>
          <w:sz w:val="24"/>
          <w:szCs w:val="24"/>
          <w:lang w:val="es-ES_tradnl" w:eastAsia="es-BO"/>
        </w:rPr>
        <w:t xml:space="preserve"> Cecilia </w:t>
      </w:r>
      <w:proofErr w:type="spellStart"/>
      <w:r w:rsidRPr="00CE0B87">
        <w:rPr>
          <w:rFonts w:ascii="Arial" w:eastAsia="Times New Roman" w:hAnsi="Arial" w:cs="Arial"/>
          <w:color w:val="000000"/>
          <w:sz w:val="24"/>
          <w:szCs w:val="24"/>
          <w:lang w:val="es-ES_tradnl" w:eastAsia="es-BO"/>
        </w:rPr>
        <w:t>Kochi</w:t>
      </w:r>
      <w:proofErr w:type="spellEnd"/>
      <w:r w:rsidRPr="00CE0B87">
        <w:rPr>
          <w:rFonts w:ascii="Arial" w:eastAsia="Times New Roman" w:hAnsi="Arial" w:cs="Arial"/>
          <w:color w:val="000000"/>
          <w:sz w:val="24"/>
          <w:szCs w:val="24"/>
          <w:lang w:val="es-ES_tradnl" w:eastAsia="es-BO"/>
        </w:rPr>
        <w:t xml:space="preserve"> de </w:t>
      </w:r>
      <w:proofErr w:type="spellStart"/>
      <w:r w:rsidRPr="00CE0B87">
        <w:rPr>
          <w:rFonts w:ascii="Arial" w:eastAsia="Times New Roman" w:hAnsi="Arial" w:cs="Arial"/>
          <w:color w:val="000000"/>
          <w:sz w:val="24"/>
          <w:szCs w:val="24"/>
          <w:lang w:val="es-ES_tradnl" w:eastAsia="es-BO"/>
        </w:rPr>
        <w:t>Maeshiro</w:t>
      </w:r>
      <w:proofErr w:type="spellEnd"/>
      <w:r w:rsidRPr="00CE0B87">
        <w:rPr>
          <w:rFonts w:ascii="Arial" w:eastAsia="Times New Roman" w:hAnsi="Arial" w:cs="Arial"/>
          <w:color w:val="000000"/>
          <w:sz w:val="24"/>
          <w:szCs w:val="24"/>
          <w:lang w:val="es-ES_tradnl" w:eastAsia="es-BO"/>
        </w:rPr>
        <w:t xml:space="preserve"> propietarios del predio “Ayacucho ”, para participar en las actividades de campo dentro del trámite de saneamiento del polígono N° 137, señalando que por un error involuntario y la premura del tiempo llenaron planillas de sueldo rápidamente para presentar al INRA incurriendo en errores de sueldos de </w:t>
      </w:r>
      <w:r w:rsidRPr="00CE0B87">
        <w:rPr>
          <w:rFonts w:ascii="Arial" w:eastAsia="Times New Roman" w:hAnsi="Arial" w:cs="Arial"/>
          <w:color w:val="000000"/>
          <w:sz w:val="24"/>
          <w:szCs w:val="24"/>
          <w:lang w:val="es-ES" w:eastAsia="es-BO"/>
        </w:rPr>
        <w:t xml:space="preserve">Edgar Ortiz </w:t>
      </w:r>
      <w:proofErr w:type="spellStart"/>
      <w:r w:rsidRPr="00CE0B87">
        <w:rPr>
          <w:rFonts w:ascii="Arial" w:eastAsia="Times New Roman" w:hAnsi="Arial" w:cs="Arial"/>
          <w:color w:val="000000"/>
          <w:sz w:val="24"/>
          <w:szCs w:val="24"/>
          <w:lang w:val="es-ES" w:eastAsia="es-BO"/>
        </w:rPr>
        <w:t>Yriarte</w:t>
      </w:r>
      <w:proofErr w:type="spellEnd"/>
      <w:r w:rsidRPr="00CE0B87">
        <w:rPr>
          <w:rFonts w:ascii="Arial" w:eastAsia="Times New Roman" w:hAnsi="Arial" w:cs="Arial"/>
          <w:color w:val="000000"/>
          <w:sz w:val="24"/>
          <w:szCs w:val="24"/>
          <w:lang w:val="es-ES" w:eastAsia="es-BO"/>
        </w:rPr>
        <w:t xml:space="preserve">,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Benedicto Orellana </w:t>
      </w:r>
      <w:proofErr w:type="spellStart"/>
      <w:r w:rsidRPr="00CE0B87">
        <w:rPr>
          <w:rFonts w:ascii="Arial" w:eastAsia="Times New Roman" w:hAnsi="Arial" w:cs="Arial"/>
          <w:color w:val="000000"/>
          <w:sz w:val="24"/>
          <w:szCs w:val="24"/>
          <w:lang w:val="es-ES" w:eastAsia="es-BO"/>
        </w:rPr>
        <w:t>Colque</w:t>
      </w:r>
      <w:proofErr w:type="spellEnd"/>
      <w:r w:rsidRPr="00CE0B87">
        <w:rPr>
          <w:rFonts w:ascii="Arial" w:eastAsia="Times New Roman" w:hAnsi="Arial" w:cs="Arial"/>
          <w:color w:val="000000"/>
          <w:sz w:val="24"/>
          <w:szCs w:val="24"/>
          <w:lang w:val="es-ES" w:eastAsia="es-BO"/>
        </w:rPr>
        <w:t xml:space="preserve"> e Hilarión Moreno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_tradnl" w:eastAsia="es-BO"/>
        </w:rPr>
        <w:t>, generando planillas que no correspondía a la realidad, adjuntando a la fecha de la referida declaración las planillas correctas con relación a los citados trabajadores</w:t>
      </w:r>
      <w:r w:rsidRPr="00CE0B87">
        <w:rPr>
          <w:rFonts w:ascii="Arial" w:eastAsia="Times New Roman" w:hAnsi="Arial" w:cs="Arial"/>
          <w:color w:val="000000"/>
          <w:sz w:val="24"/>
          <w:szCs w:val="24"/>
          <w:lang w:val="es-ES" w:eastAsia="es-BO"/>
        </w:rPr>
        <w:t>.</w:t>
      </w:r>
    </w:p>
    <w:p w14:paraId="1A8A9F2F" w14:textId="0876342F" w:rsidR="00820DA6" w:rsidRPr="00CE0B87" w:rsidRDefault="00820DA6" w:rsidP="00CE0B87">
      <w:pPr>
        <w:spacing w:after="0" w:line="360" w:lineRule="auto"/>
        <w:jc w:val="both"/>
        <w:rPr>
          <w:rFonts w:ascii="Arial" w:eastAsia="Times New Roman" w:hAnsi="Arial" w:cs="Arial"/>
          <w:color w:val="000000"/>
          <w:sz w:val="24"/>
          <w:szCs w:val="24"/>
          <w:lang w:val="es-ES_tradnl" w:eastAsia="es-BO"/>
        </w:rPr>
      </w:pPr>
      <w:r w:rsidRPr="00CE0B87">
        <w:rPr>
          <w:rFonts w:ascii="Arial" w:eastAsia="Times New Roman" w:hAnsi="Arial" w:cs="Arial"/>
          <w:b/>
          <w:bCs/>
          <w:color w:val="000000"/>
          <w:sz w:val="24"/>
          <w:szCs w:val="24"/>
          <w:lang w:val="es-ES_tradnl" w:eastAsia="es-BO"/>
        </w:rPr>
        <w:t>I.5.2.5. </w:t>
      </w:r>
      <w:r w:rsidRPr="00CE0B87">
        <w:rPr>
          <w:rFonts w:ascii="Arial" w:eastAsia="Times New Roman" w:hAnsi="Arial" w:cs="Arial"/>
          <w:color w:val="000000"/>
          <w:sz w:val="24"/>
          <w:szCs w:val="24"/>
          <w:lang w:val="es-ES_tradnl" w:eastAsia="es-BO"/>
        </w:rPr>
        <w:t xml:space="preserve">De fs. 532 a 533 de obrados cursa Declaración Voluntaria de 14 de abril de 2022, </w:t>
      </w:r>
      <w:proofErr w:type="spellStart"/>
      <w:r w:rsidRPr="00CE0B87">
        <w:rPr>
          <w:rFonts w:ascii="Arial" w:eastAsia="Times New Roman" w:hAnsi="Arial" w:cs="Arial"/>
          <w:color w:val="000000"/>
          <w:sz w:val="24"/>
          <w:szCs w:val="24"/>
          <w:lang w:val="es-ES_tradnl" w:eastAsia="es-BO"/>
        </w:rPr>
        <w:t>Soliz</w:t>
      </w:r>
      <w:proofErr w:type="spellEnd"/>
      <w:r w:rsidRPr="00CE0B87">
        <w:rPr>
          <w:rFonts w:ascii="Arial" w:eastAsia="Times New Roman" w:hAnsi="Arial" w:cs="Arial"/>
          <w:color w:val="000000"/>
          <w:sz w:val="24"/>
          <w:szCs w:val="24"/>
          <w:lang w:val="es-ES_tradnl" w:eastAsia="es-BO"/>
        </w:rPr>
        <w:t xml:space="preserve"> Viana Francisco, quien declara que siempre recibieron salarios en montos superiores consignados en el salario mínimo vital establecido, de donde se infiere que no es conforme a la verdad material, es decir a la realidad, calificar al predio “Ayacucho” como un predio con régimen servidumbral. </w:t>
      </w:r>
    </w:p>
    <w:p w14:paraId="39BCB3C9" w14:textId="0D963D8A" w:rsidR="00813C9F" w:rsidRPr="00CE0B87" w:rsidRDefault="00813C9F"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_tradnl" w:eastAsia="es-BO"/>
        </w:rPr>
        <w:t>I.5.2.6. </w:t>
      </w:r>
      <w:r w:rsidRPr="00CE0B87">
        <w:rPr>
          <w:rFonts w:ascii="Arial" w:eastAsia="Times New Roman" w:hAnsi="Arial" w:cs="Arial"/>
          <w:color w:val="000000"/>
          <w:sz w:val="24"/>
          <w:szCs w:val="24"/>
          <w:lang w:val="es-ES_tradnl" w:eastAsia="es-BO"/>
        </w:rPr>
        <w:t xml:space="preserve">De fs. 732 a 737 de obrados cursa Informe Técnico TA-DTE N° 010/2024 de 16 de agosto de 2024, elaborado por el Departamento Técnico Especializado del Tribunal Agroambiental, donde se establece la </w:t>
      </w:r>
      <w:r w:rsidR="00243DDB" w:rsidRPr="00CE0B87">
        <w:rPr>
          <w:rFonts w:ascii="Arial" w:eastAsia="Times New Roman" w:hAnsi="Arial" w:cs="Arial"/>
          <w:color w:val="000000"/>
          <w:sz w:val="24"/>
          <w:szCs w:val="24"/>
          <w:lang w:val="es-ES_tradnl" w:eastAsia="es-BO"/>
        </w:rPr>
        <w:t>sobreposición de los predios mensurados en saneamiento denominados AYACUCHO y AYACUCHO I, respecto a las áreas que comprenden los expedientes agrarios N° 12395 B y 58128.</w:t>
      </w:r>
      <w:r w:rsidRPr="00CE0B87">
        <w:rPr>
          <w:rFonts w:ascii="Arial" w:eastAsia="Times New Roman" w:hAnsi="Arial" w:cs="Arial"/>
          <w:color w:val="000000"/>
          <w:sz w:val="24"/>
          <w:szCs w:val="24"/>
          <w:lang w:val="es-ES_tradnl" w:eastAsia="es-BO"/>
        </w:rPr>
        <w:t xml:space="preserve"> </w:t>
      </w:r>
    </w:p>
    <w:p w14:paraId="53099388" w14:textId="4A731FC4" w:rsidR="00820DA6" w:rsidRPr="00CE0B87" w:rsidRDefault="00820DA6" w:rsidP="004A70C1">
      <w:pPr>
        <w:spacing w:after="0" w:line="360" w:lineRule="auto"/>
        <w:jc w:val="center"/>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II. FUNDAMENTOS JURÍDICOS</w:t>
      </w:r>
      <w:r w:rsidR="00E23964" w:rsidRPr="00CE0B87">
        <w:rPr>
          <w:rFonts w:ascii="Arial" w:eastAsia="Times New Roman" w:hAnsi="Arial" w:cs="Arial"/>
          <w:b/>
          <w:bCs/>
          <w:color w:val="000000"/>
          <w:sz w:val="24"/>
          <w:szCs w:val="24"/>
          <w:lang w:eastAsia="es-BO"/>
        </w:rPr>
        <w:t xml:space="preserve"> DE LA SENTENCIA</w:t>
      </w:r>
    </w:p>
    <w:p w14:paraId="316DB0DC" w14:textId="2052ED51"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A objeto de absolver los argumentos esgrimidos en la demanda contencioso administrativa, la contestación a la misma por los codemandados, así como lo </w:t>
      </w:r>
      <w:r w:rsidRPr="00CE0B87">
        <w:rPr>
          <w:rFonts w:ascii="Arial" w:eastAsia="Times New Roman" w:hAnsi="Arial" w:cs="Arial"/>
          <w:color w:val="000000"/>
          <w:sz w:val="24"/>
          <w:szCs w:val="24"/>
          <w:lang w:val="es-ES" w:eastAsia="es-BO"/>
        </w:rPr>
        <w:lastRenderedPageBreak/>
        <w:t>manifestado por los terceros interesados,</w:t>
      </w:r>
      <w:r w:rsidR="00243DDB" w:rsidRPr="00CE0B87">
        <w:rPr>
          <w:rFonts w:ascii="Arial" w:eastAsia="Times New Roman" w:hAnsi="Arial" w:cs="Arial"/>
          <w:color w:val="000000"/>
          <w:sz w:val="24"/>
          <w:szCs w:val="24"/>
          <w:lang w:val="es-ES" w:eastAsia="es-BO"/>
        </w:rPr>
        <w:t xml:space="preserve"> </w:t>
      </w:r>
      <w:r w:rsidR="00243DDB" w:rsidRPr="00CE0B87">
        <w:rPr>
          <w:rFonts w:ascii="Arial" w:hAnsi="Arial" w:cs="Arial"/>
          <w:sz w:val="24"/>
          <w:szCs w:val="24"/>
        </w:rPr>
        <w:t xml:space="preserve">así como la determinación asumida por la justicia constitucional en el caso concreto; </w:t>
      </w:r>
      <w:r w:rsidR="00243DDB" w:rsidRPr="00CE0B87">
        <w:rPr>
          <w:rFonts w:ascii="Arial" w:hAnsi="Arial" w:cs="Arial"/>
          <w:color w:val="212529"/>
          <w:sz w:val="24"/>
          <w:szCs w:val="24"/>
          <w:lang w:val="es-ES"/>
        </w:rPr>
        <w:t>este Tribunal efectuará el estudio de los siguientes argumentos jurídicos</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1.</w:t>
      </w:r>
      <w:r w:rsidRPr="00CE0B87">
        <w:rPr>
          <w:rFonts w:ascii="Arial" w:eastAsia="Times New Roman" w:hAnsi="Arial" w:cs="Arial"/>
          <w:color w:val="000000"/>
          <w:sz w:val="24"/>
          <w:szCs w:val="24"/>
          <w:lang w:val="es-ES" w:eastAsia="es-BO"/>
        </w:rPr>
        <w:t> La naturaleza jurídica del proceso contencioso administrativo; </w:t>
      </w:r>
      <w:r w:rsidRPr="00CE0B87">
        <w:rPr>
          <w:rFonts w:ascii="Arial" w:eastAsia="Times New Roman" w:hAnsi="Arial" w:cs="Arial"/>
          <w:b/>
          <w:bCs/>
          <w:color w:val="000000"/>
          <w:sz w:val="24"/>
          <w:szCs w:val="24"/>
          <w:lang w:val="es-ES" w:eastAsia="es-BO"/>
        </w:rPr>
        <w:t>2.</w:t>
      </w:r>
      <w:r w:rsidRPr="00CE0B87">
        <w:rPr>
          <w:rFonts w:ascii="Arial" w:eastAsia="Times New Roman" w:hAnsi="Arial" w:cs="Arial"/>
          <w:color w:val="000000"/>
          <w:sz w:val="24"/>
          <w:szCs w:val="24"/>
          <w:lang w:val="es-ES" w:eastAsia="es-BO"/>
        </w:rPr>
        <w:t> La finalidad y alcance del proceso de saneamiento; </w:t>
      </w:r>
      <w:r w:rsidRPr="00CE0B87">
        <w:rPr>
          <w:rFonts w:ascii="Arial" w:eastAsia="Times New Roman" w:hAnsi="Arial" w:cs="Arial"/>
          <w:b/>
          <w:bCs/>
          <w:color w:val="000000"/>
          <w:sz w:val="24"/>
          <w:szCs w:val="24"/>
          <w:lang w:val="es-ES" w:eastAsia="es-BO"/>
        </w:rPr>
        <w:t>3.</w:t>
      </w:r>
      <w:r w:rsidRPr="00CE0B87">
        <w:rPr>
          <w:rFonts w:ascii="Arial" w:eastAsia="Times New Roman" w:hAnsi="Arial" w:cs="Arial"/>
          <w:color w:val="000000"/>
          <w:sz w:val="24"/>
          <w:szCs w:val="24"/>
          <w:lang w:val="es-ES" w:eastAsia="es-BO"/>
        </w:rPr>
        <w:t> De la posesión y del cumplimiento de la Función Económica Social; </w:t>
      </w:r>
      <w:r w:rsidRPr="00CE0B87">
        <w:rPr>
          <w:rFonts w:ascii="Arial" w:eastAsia="Times New Roman" w:hAnsi="Arial" w:cs="Arial"/>
          <w:b/>
          <w:bCs/>
          <w:color w:val="000000"/>
          <w:sz w:val="24"/>
          <w:szCs w:val="24"/>
          <w:lang w:val="es-ES" w:eastAsia="es-BO"/>
        </w:rPr>
        <w:t>4.</w:t>
      </w:r>
      <w:r w:rsidRPr="00CE0B87">
        <w:rPr>
          <w:rFonts w:ascii="Arial" w:eastAsia="Times New Roman" w:hAnsi="Arial" w:cs="Arial"/>
          <w:color w:val="000000"/>
          <w:sz w:val="24"/>
          <w:szCs w:val="24"/>
          <w:lang w:val="es-ES" w:eastAsia="es-BO"/>
        </w:rPr>
        <w:t> </w:t>
      </w:r>
      <w:r w:rsidRPr="00CE0B87">
        <w:rPr>
          <w:rFonts w:ascii="Arial" w:eastAsia="Times New Roman" w:hAnsi="Arial" w:cs="Arial"/>
          <w:color w:val="000000"/>
          <w:sz w:val="24"/>
          <w:szCs w:val="24"/>
          <w:lang w:eastAsia="es-BO"/>
        </w:rPr>
        <w:t>De las Relaciones Servidumbrales; </w:t>
      </w:r>
      <w:r w:rsidRPr="00CE0B87">
        <w:rPr>
          <w:rFonts w:ascii="Arial" w:eastAsia="Times New Roman" w:hAnsi="Arial" w:cs="Arial"/>
          <w:b/>
          <w:bCs/>
          <w:color w:val="000000"/>
          <w:sz w:val="24"/>
          <w:szCs w:val="24"/>
          <w:lang w:eastAsia="es-BO"/>
        </w:rPr>
        <w:t>5.</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La fundamentación, motivación y congruencia de las resoluciones</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y, </w:t>
      </w:r>
      <w:r w:rsidRPr="00CE0B87">
        <w:rPr>
          <w:rFonts w:ascii="Arial" w:eastAsia="Times New Roman" w:hAnsi="Arial" w:cs="Arial"/>
          <w:b/>
          <w:bCs/>
          <w:color w:val="000000"/>
          <w:sz w:val="24"/>
          <w:szCs w:val="24"/>
          <w:lang w:val="es-ES" w:eastAsia="es-BO"/>
        </w:rPr>
        <w:t>6.</w:t>
      </w:r>
      <w:r w:rsidRPr="00CE0B87">
        <w:rPr>
          <w:rFonts w:ascii="Arial" w:eastAsia="Times New Roman" w:hAnsi="Arial" w:cs="Arial"/>
          <w:color w:val="000000"/>
          <w:sz w:val="24"/>
          <w:szCs w:val="24"/>
          <w:lang w:val="es-ES" w:eastAsia="es-BO"/>
        </w:rPr>
        <w:t> Análisis del caso concreto.</w:t>
      </w:r>
    </w:p>
    <w:p w14:paraId="5826A35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FJ.II.1. La naturaleza jurídica del proceso contencioso administrativo</w:t>
      </w:r>
    </w:p>
    <w:p w14:paraId="5D551C0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El proceso contencioso administrativo es un procedimiento de control jurisdiccional que tiene como finalidad verificar la legalidad de los actos que realiza el Estado a través de sus funcionarios administrativos, con el propósito de precautelar los intereses del administrado cuando son lesionados o perjudicados en sus derechos.</w:t>
      </w:r>
    </w:p>
    <w:p w14:paraId="2520B65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En ese entendido, se debe establecer que el proceso de saneamiento de la propiedad agraria, para su validez y eficacia jurídica debe desarrollarse conforme lo establecido por el ordenamiento jurídico vigente, ajustando su accionar la autoridad administrativa, a las reglas preestablecidas y a los principios jurídicos que regulan la materia, constituyendo la información obtenida durante dicho procedimiento el insumo básico para que el Estado otorgue el derecho a la propiedad, labor que debe adecuarse imprescindiblemente a las normas reglamentarias que rigen dicho proceso administrativo, mismos que contemplan las diferentes etapas secuenciales.</w:t>
      </w:r>
    </w:p>
    <w:p w14:paraId="73012A1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FJ.II.2. La finalidad y alcance del proceso de saneamiento</w:t>
      </w:r>
    </w:p>
    <w:p w14:paraId="0EB8641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El proceso de saneamiento, conforme lo establecido en el art. 64 de la Ley N° 1715, modificada parcialmente por Ley N° 3545, determina que el mismo es</w:t>
      </w:r>
      <w:r w:rsidRPr="00CE0B87">
        <w:rPr>
          <w:rFonts w:ascii="Arial" w:eastAsia="Times New Roman" w:hAnsi="Arial" w:cs="Arial"/>
          <w:i/>
          <w:iCs/>
          <w:color w:val="000000"/>
          <w:sz w:val="24"/>
          <w:szCs w:val="24"/>
          <w:lang w:eastAsia="es-BO"/>
        </w:rPr>
        <w:t> “el procedimiento técnico-jurídico transitorio destinado a regularizar y perfeccionar el derecho de propiedad agraria”.</w:t>
      </w:r>
    </w:p>
    <w:p w14:paraId="52E46E9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Conforme lo dispuesto por el art. 65 de la Ley N° 1715, modificada por la Ley N° 3501, de 19 de octubre de 2006 y la Ley N° 429, de 31 de octubre de 2013, se determina y faculta para que el Instituto Nacional de Reforma Agraria - INRA, en coordinación con las direcciones departamentales ejecute y concluya el saneamiento de la propiedad agraria, labor que debió ser concluida entre los años 1996 a 2006, plazos que fueron ampliados para ejecutar dicho procedimiento; en ese sentido, el art. 66.I.1.4.5.6 de la Ley N° 1715, modificado tácitamente por la Disposición Transitoria Octava de la Ley N° 3545, dispone que el saneamiento tiene, entre otras, las siguientes finalidades</w:t>
      </w:r>
      <w:r w:rsidRPr="00CE0B87">
        <w:rPr>
          <w:rFonts w:ascii="Arial" w:eastAsia="Times New Roman" w:hAnsi="Arial" w:cs="Arial"/>
          <w:i/>
          <w:iCs/>
          <w:color w:val="000000"/>
          <w:sz w:val="24"/>
          <w:szCs w:val="24"/>
          <w:lang w:eastAsia="es-BO"/>
        </w:rPr>
        <w:t xml:space="preserve">: “La titulación de las tierras que se encuentren cumpliendo la función económico-social o función social definidas en el artículo 2º de esta ley, por lo menos dos (2) años antes de su publicación, aunque no cuenten con trámites agrarios que los respalden, siempre y cuando no afecten derechos </w:t>
      </w:r>
      <w:r w:rsidRPr="00CE0B87">
        <w:rPr>
          <w:rFonts w:ascii="Arial" w:eastAsia="Times New Roman" w:hAnsi="Arial" w:cs="Arial"/>
          <w:i/>
          <w:iCs/>
          <w:color w:val="000000"/>
          <w:sz w:val="24"/>
          <w:szCs w:val="24"/>
          <w:lang w:eastAsia="es-BO"/>
        </w:rPr>
        <w:lastRenderedPageBreak/>
        <w:t>legalmente adquiridos por terceros, mediante procedimiento de adjudicación simple o de dotación, según sea el caso; </w:t>
      </w:r>
      <w:r w:rsidRPr="00CE0B87">
        <w:rPr>
          <w:rFonts w:ascii="Arial" w:eastAsia="Times New Roman" w:hAnsi="Arial" w:cs="Arial"/>
          <w:i/>
          <w:iCs/>
          <w:color w:val="000000"/>
          <w:sz w:val="24"/>
          <w:szCs w:val="24"/>
          <w:lang w:val="es-ES" w:eastAsia="es-BO"/>
        </w:rPr>
        <w:t>La titulación de procesos agrarios en trámite; La anulación de títulos afectados de vicios de nulidad absoluta; La convalidación de títulos afectados de vicios de nulidad relativa.</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i/>
          <w:iCs/>
          <w:color w:val="000000"/>
          <w:sz w:val="24"/>
          <w:szCs w:val="24"/>
          <w:lang w:val="es-ES" w:eastAsia="es-BO"/>
        </w:rPr>
        <w:t>Siempre y cuando la tierra cumpla la Función Económico-Social” </w:t>
      </w:r>
      <w:r w:rsidRPr="00CE0B87">
        <w:rPr>
          <w:rFonts w:ascii="Arial" w:eastAsia="Times New Roman" w:hAnsi="Arial" w:cs="Arial"/>
          <w:color w:val="000000"/>
          <w:sz w:val="24"/>
          <w:szCs w:val="24"/>
          <w:lang w:val="es-ES" w:eastAsia="es-BO"/>
        </w:rPr>
        <w:t>(las negrillas son agregadas).</w:t>
      </w:r>
    </w:p>
    <w:p w14:paraId="2073857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Respecto al saneamiento de la propiedad, del cual emergen las resoluciones finales de saneamiento, es importante señalar que para el Estado Plurinacional de Bolivia, perfeccionar el derecho de la propiedad agraria, es una de las finalidades de la Ley N° 1715 del Servicio Nacional de Reforma Agraria, parcialmente modificada por la Ley N° 3545 de Reconducción Comunitaria, conforme lo establecido en los arts. 64, 65, 66 y siguientes de la Ley N° 1715, y esto se materializa a través del proceso de saneamiento de la propiedad o posesión agraria y de esta manera, no sólo es regularizar el derecho de propiedad agraria, sino sobre todo, que a partir de la regularización del derecho, otorgar seguridad jurídica con la titulación de las propiedades individuales y colectivas, de predios públicos o privados, a fin de promover el desarrollo rural integral sustentable, en los términos establecidos por el art. 405 y siguientes del Texto Constitucional (2009), entre otros.</w:t>
      </w:r>
    </w:p>
    <w:p w14:paraId="0AD36A8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Este proceso se ejecuta a todas las propiedades ubicadas en el área rural, que tengan antecedente agrario (en Títulos Ejecutoriales o proceso agrario en trámite), sean </w:t>
      </w:r>
      <w:proofErr w:type="spellStart"/>
      <w:r w:rsidRPr="00CE0B87">
        <w:rPr>
          <w:rFonts w:ascii="Arial" w:eastAsia="Times New Roman" w:hAnsi="Arial" w:cs="Arial"/>
          <w:color w:val="000000"/>
          <w:sz w:val="24"/>
          <w:szCs w:val="24"/>
          <w:lang w:val="es-ES" w:eastAsia="es-BO"/>
        </w:rPr>
        <w:t>subadquirentes</w:t>
      </w:r>
      <w:proofErr w:type="spellEnd"/>
      <w:r w:rsidRPr="00CE0B87">
        <w:rPr>
          <w:rFonts w:ascii="Arial" w:eastAsia="Times New Roman" w:hAnsi="Arial" w:cs="Arial"/>
          <w:color w:val="000000"/>
          <w:sz w:val="24"/>
          <w:szCs w:val="24"/>
          <w:lang w:val="es-ES" w:eastAsia="es-BO"/>
        </w:rPr>
        <w:t xml:space="preserve"> o que se encuentren ejerciendo una posesión, que no cuenten con Título Ejecutorial o estén en trámite agrario, que respalde su derecho propietario. En caso de contar con Título Ejecutorial o trámite agrario, previa verificación del cumplimiento de la Función Económico-Social o Función Social, se reconocerá el derecho de propiedad a la propiedad individual o comunitaria, cuando así correspondiere y de esta manera cumplir con lo establecido en la Constitución Política del Estado Plurinacional.</w:t>
      </w:r>
    </w:p>
    <w:p w14:paraId="6BAA065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FJ.II.3. De la posesión y del cumplimiento de la Función Económico Social.</w:t>
      </w:r>
    </w:p>
    <w:p w14:paraId="74C2473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FJ.II.3.1. Respecto a la posesión de predios agrarios:</w:t>
      </w:r>
    </w:p>
    <w:p w14:paraId="5C33F74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La parte final del parágrafo I del art. 399 de la Constitución Política del Estado del 7 de febrero de 2009, establece que: </w:t>
      </w:r>
      <w:r w:rsidRPr="00CE0B87">
        <w:rPr>
          <w:rFonts w:ascii="Arial" w:eastAsia="Times New Roman" w:hAnsi="Arial" w:cs="Arial"/>
          <w:i/>
          <w:iCs/>
          <w:color w:val="000000"/>
          <w:sz w:val="24"/>
          <w:szCs w:val="24"/>
          <w:lang w:val="es-ES" w:eastAsia="es-BO"/>
        </w:rPr>
        <w:t xml:space="preserve">“A los efectos de la irretroactividad de la Ley, </w:t>
      </w:r>
      <w:r w:rsidRPr="00CE0B87">
        <w:rPr>
          <w:rFonts w:ascii="Arial" w:eastAsia="Times New Roman" w:hAnsi="Arial" w:cs="Arial"/>
          <w:b/>
          <w:i/>
          <w:iCs/>
          <w:color w:val="000000"/>
          <w:sz w:val="24"/>
          <w:szCs w:val="24"/>
          <w:lang w:val="es-ES" w:eastAsia="es-BO"/>
        </w:rPr>
        <w:t>se</w:t>
      </w:r>
      <w:r w:rsidRPr="00CE0B87">
        <w:rPr>
          <w:rFonts w:ascii="Arial" w:eastAsia="Times New Roman" w:hAnsi="Arial" w:cs="Arial"/>
          <w:i/>
          <w:iCs/>
          <w:color w:val="000000"/>
          <w:sz w:val="24"/>
          <w:szCs w:val="24"/>
          <w:lang w:val="es-ES" w:eastAsia="es-BO"/>
        </w:rPr>
        <w:t> </w:t>
      </w:r>
      <w:r w:rsidRPr="00CE0B87">
        <w:rPr>
          <w:rFonts w:ascii="Arial" w:eastAsia="Times New Roman" w:hAnsi="Arial" w:cs="Arial"/>
          <w:b/>
          <w:bCs/>
          <w:i/>
          <w:iCs/>
          <w:color w:val="000000"/>
          <w:sz w:val="24"/>
          <w:szCs w:val="24"/>
          <w:lang w:val="es-ES" w:eastAsia="es-BO"/>
        </w:rPr>
        <w:t>reconocen y respetan los derechos de posesión y propiedad agraria de acuerdo a Ley” </w:t>
      </w:r>
      <w:r w:rsidRPr="00CE0B87">
        <w:rPr>
          <w:rFonts w:ascii="Arial" w:eastAsia="Times New Roman" w:hAnsi="Arial" w:cs="Arial"/>
          <w:color w:val="000000"/>
          <w:sz w:val="24"/>
          <w:szCs w:val="24"/>
          <w:lang w:val="es-ES" w:eastAsia="es-BO"/>
        </w:rPr>
        <w:t>(la negrilla es nuestra).</w:t>
      </w:r>
    </w:p>
    <w:p w14:paraId="50A346D3"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La Disposición Final Primera de la Ley N° 1715, establece que: </w:t>
      </w:r>
      <w:r w:rsidRPr="00CE0B87">
        <w:rPr>
          <w:rFonts w:ascii="Arial" w:eastAsia="Times New Roman" w:hAnsi="Arial" w:cs="Arial"/>
          <w:i/>
          <w:iCs/>
          <w:color w:val="000000"/>
          <w:sz w:val="24"/>
          <w:szCs w:val="24"/>
          <w:lang w:val="es-ES" w:eastAsia="es-BO"/>
        </w:rPr>
        <w:t>“Los asentamientos y ocupaciones de hechos en tierras fiscales, producidas </w:t>
      </w:r>
      <w:r w:rsidRPr="00CE0B87">
        <w:rPr>
          <w:rFonts w:ascii="Arial" w:eastAsia="Times New Roman" w:hAnsi="Arial" w:cs="Arial"/>
          <w:b/>
          <w:bCs/>
          <w:i/>
          <w:iCs/>
          <w:color w:val="000000"/>
          <w:sz w:val="24"/>
          <w:szCs w:val="24"/>
          <w:lang w:val="es-ES" w:eastAsia="es-BO"/>
        </w:rPr>
        <w:t>con posterioridad a la promulgación de esta ley son ilegales y contravienen sus principios; por tanto, sus autores serán pasibles de desalojo,</w:t>
      </w:r>
      <w:r w:rsidRPr="00CE0B87">
        <w:rPr>
          <w:rFonts w:ascii="Arial" w:eastAsia="Times New Roman" w:hAnsi="Arial" w:cs="Arial"/>
          <w:i/>
          <w:iCs/>
          <w:color w:val="000000"/>
          <w:sz w:val="24"/>
          <w:szCs w:val="24"/>
          <w:lang w:val="es-ES" w:eastAsia="es-BO"/>
        </w:rPr>
        <w:t xml:space="preserve"> con intervención de la fuerza </w:t>
      </w:r>
      <w:r w:rsidRPr="00CE0B87">
        <w:rPr>
          <w:rFonts w:ascii="Arial" w:eastAsia="Times New Roman" w:hAnsi="Arial" w:cs="Arial"/>
          <w:i/>
          <w:iCs/>
          <w:color w:val="000000"/>
          <w:sz w:val="24"/>
          <w:szCs w:val="24"/>
          <w:lang w:val="es-ES" w:eastAsia="es-BO"/>
        </w:rPr>
        <w:lastRenderedPageBreak/>
        <w:t>pública si fuere necesaria, a requerimiento de autoridad administrativa o judicial competente”</w:t>
      </w:r>
      <w:r w:rsidRPr="00CE0B87">
        <w:rPr>
          <w:rFonts w:ascii="Arial" w:eastAsia="Times New Roman" w:hAnsi="Arial" w:cs="Arial"/>
          <w:color w:val="000000"/>
          <w:sz w:val="24"/>
          <w:szCs w:val="24"/>
          <w:lang w:val="es-ES" w:eastAsia="es-BO"/>
        </w:rPr>
        <w:t> (las negrillas es nuestra).</w:t>
      </w:r>
    </w:p>
    <w:p w14:paraId="22E0DE2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igual modo, la Disposición Transitoria Octava de la Ley N° 3545 modificatoria de la Ley N° 1715, establece que se constituyen en posesiones legales: </w:t>
      </w:r>
      <w:r w:rsidRPr="00CE0B87">
        <w:rPr>
          <w:rFonts w:ascii="Arial" w:eastAsia="Times New Roman" w:hAnsi="Arial" w:cs="Arial"/>
          <w:i/>
          <w:iCs/>
          <w:color w:val="000000"/>
          <w:sz w:val="24"/>
          <w:szCs w:val="24"/>
          <w:lang w:val="es-ES" w:eastAsia="es-BO"/>
        </w:rPr>
        <w:t>“Las superficies que se consideren con </w:t>
      </w:r>
      <w:r w:rsidRPr="00CE0B87">
        <w:rPr>
          <w:rFonts w:ascii="Arial" w:eastAsia="Times New Roman" w:hAnsi="Arial" w:cs="Arial"/>
          <w:b/>
          <w:bCs/>
          <w:i/>
          <w:iCs/>
          <w:color w:val="000000"/>
          <w:sz w:val="24"/>
          <w:szCs w:val="24"/>
          <w:lang w:val="es-ES" w:eastAsia="es-BO"/>
        </w:rPr>
        <w:t>posesión legal</w:t>
      </w:r>
      <w:r w:rsidRPr="00CE0B87">
        <w:rPr>
          <w:rFonts w:ascii="Arial" w:eastAsia="Times New Roman" w:hAnsi="Arial" w:cs="Arial"/>
          <w:i/>
          <w:iCs/>
          <w:color w:val="000000"/>
          <w:sz w:val="24"/>
          <w:szCs w:val="24"/>
          <w:lang w:val="es-ES" w:eastAsia="es-BO"/>
        </w:rPr>
        <w:t>, en saneamiento, serán aquellas que, </w:t>
      </w:r>
      <w:r w:rsidRPr="00CE0B87">
        <w:rPr>
          <w:rFonts w:ascii="Arial" w:eastAsia="Times New Roman" w:hAnsi="Arial" w:cs="Arial"/>
          <w:b/>
          <w:bCs/>
          <w:i/>
          <w:iCs/>
          <w:color w:val="000000"/>
          <w:sz w:val="24"/>
          <w:szCs w:val="24"/>
          <w:u w:val="single"/>
          <w:lang w:val="es-ES" w:eastAsia="es-BO"/>
        </w:rPr>
        <w:t>siendo anteriores a la vigencia de la Ley N° 1715 de 18 de octubre de 1996, cumplan efectivamente con la función social o la función económico social</w:t>
      </w:r>
      <w:r w:rsidRPr="00CE0B87">
        <w:rPr>
          <w:rFonts w:ascii="Arial" w:eastAsia="Times New Roman" w:hAnsi="Arial" w:cs="Arial"/>
          <w:i/>
          <w:iCs/>
          <w:color w:val="000000"/>
          <w:sz w:val="24"/>
          <w:szCs w:val="24"/>
          <w:lang w:val="es-ES" w:eastAsia="es-BO"/>
        </w:rPr>
        <w:t>, según corresponda, de manera pacífica, continuada y sin afectar derechos legalmente adquiridos o reconocidos”</w:t>
      </w:r>
      <w:r w:rsidRPr="00CE0B87">
        <w:rPr>
          <w:rFonts w:ascii="Arial" w:eastAsia="Times New Roman" w:hAnsi="Arial" w:cs="Arial"/>
          <w:color w:val="000000"/>
          <w:sz w:val="24"/>
          <w:szCs w:val="24"/>
          <w:lang w:val="es-ES" w:eastAsia="es-BO"/>
        </w:rPr>
        <w:t> (el subrayado y negrillas es nuestro).</w:t>
      </w:r>
    </w:p>
    <w:p w14:paraId="27B82FCD" w14:textId="735A2538"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De acuerdo al Reglamento </w:t>
      </w:r>
      <w:r w:rsidR="00D35D03" w:rsidRPr="00CE0B87">
        <w:rPr>
          <w:rFonts w:ascii="Arial" w:eastAsia="Times New Roman" w:hAnsi="Arial" w:cs="Arial"/>
          <w:color w:val="000000"/>
          <w:sz w:val="24"/>
          <w:szCs w:val="24"/>
          <w:lang w:val="es-ES" w:eastAsia="es-BO"/>
        </w:rPr>
        <w:t>A</w:t>
      </w:r>
      <w:r w:rsidRPr="00CE0B87">
        <w:rPr>
          <w:rFonts w:ascii="Arial" w:eastAsia="Times New Roman" w:hAnsi="Arial" w:cs="Arial"/>
          <w:color w:val="000000"/>
          <w:sz w:val="24"/>
          <w:szCs w:val="24"/>
          <w:lang w:val="es-ES" w:eastAsia="es-BO"/>
        </w:rPr>
        <w:t>grario de la Ley N° 1715 modificado por la Ley N° 3545, aprobado por D.S. N° 29215, de 2 de agosto de 2007, en su art. 309 (posesiones legales), establece que: “</w:t>
      </w:r>
      <w:r w:rsidRPr="00CE0B87">
        <w:rPr>
          <w:rFonts w:ascii="Arial" w:eastAsia="Times New Roman" w:hAnsi="Arial" w:cs="Arial"/>
          <w:i/>
          <w:iCs/>
          <w:color w:val="000000"/>
          <w:sz w:val="24"/>
          <w:szCs w:val="24"/>
          <w:lang w:val="es-ES" w:eastAsia="es-BO"/>
        </w:rPr>
        <w:t>I. Se consideran como superficies con posesión legal, aquellas que cumplan lo previsto en la Disposición Transitoria Octava de la Ley Nº 3545. Para fines del saneamiento tendrán la condición jurídica de “poseedores legales”. La verificación y comprobación de la </w:t>
      </w:r>
      <w:r w:rsidRPr="00CE0B87">
        <w:rPr>
          <w:rFonts w:ascii="Arial" w:eastAsia="Times New Roman" w:hAnsi="Arial" w:cs="Arial"/>
          <w:b/>
          <w:bCs/>
          <w:i/>
          <w:iCs/>
          <w:color w:val="000000"/>
          <w:sz w:val="24"/>
          <w:szCs w:val="24"/>
          <w:lang w:val="es-ES" w:eastAsia="es-BO"/>
        </w:rPr>
        <w:t>legalidad de las posesiones</w:t>
      </w:r>
      <w:r w:rsidRPr="00CE0B87">
        <w:rPr>
          <w:rFonts w:ascii="Arial" w:eastAsia="Times New Roman" w:hAnsi="Arial" w:cs="Arial"/>
          <w:i/>
          <w:iCs/>
          <w:color w:val="000000"/>
          <w:sz w:val="24"/>
          <w:szCs w:val="24"/>
          <w:lang w:val="es-ES" w:eastAsia="es-BO"/>
        </w:rPr>
        <w:t> se realizará únicamente durante el relevamiento de información en campo. III. Para establecer la antigüedad de la posesión también se admitirá la sucesión en la posesión, retrotrayendo la fecha de antigüedad de la posesión al primer ocupante acreditado en documentos de transferencias de mejoras o de asentamiento, certificadas por autoridades naturales o colindantes.</w:t>
      </w:r>
      <w:r w:rsidRPr="00CE0B87">
        <w:rPr>
          <w:rFonts w:ascii="Arial" w:eastAsia="Times New Roman" w:hAnsi="Arial" w:cs="Arial"/>
          <w:color w:val="000000"/>
          <w:sz w:val="24"/>
          <w:szCs w:val="24"/>
          <w:lang w:val="es-ES" w:eastAsia="es-BO"/>
        </w:rPr>
        <w:t> (el subrayado y negrillas es nuestro).</w:t>
      </w:r>
    </w:p>
    <w:p w14:paraId="600EA1F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su parte, el art. 310 (posesiones ilegales), señala:</w:t>
      </w:r>
      <w:r w:rsidRPr="00CE0B87">
        <w:rPr>
          <w:rFonts w:ascii="Arial" w:eastAsia="Times New Roman" w:hAnsi="Arial" w:cs="Arial"/>
          <w:i/>
          <w:iCs/>
          <w:color w:val="000000"/>
          <w:sz w:val="24"/>
          <w:szCs w:val="24"/>
          <w:lang w:val="es-ES" w:eastAsia="es-BO"/>
        </w:rPr>
        <w:t> “Se tendrán como </w:t>
      </w:r>
      <w:r w:rsidRPr="00CE0B87">
        <w:rPr>
          <w:rFonts w:ascii="Arial" w:eastAsia="Times New Roman" w:hAnsi="Arial" w:cs="Arial"/>
          <w:i/>
          <w:iCs/>
          <w:color w:val="000000"/>
          <w:sz w:val="24"/>
          <w:szCs w:val="24"/>
          <w:u w:val="single"/>
          <w:lang w:val="es-ES" w:eastAsia="es-BO"/>
        </w:rPr>
        <w:t>ilegales sin derecho a dotación o adjudicación y sujetas a desalojo previsto en este reglamento, </w:t>
      </w:r>
      <w:r w:rsidRPr="00CE0B87">
        <w:rPr>
          <w:rFonts w:ascii="Arial" w:eastAsia="Times New Roman" w:hAnsi="Arial" w:cs="Arial"/>
          <w:b/>
          <w:bCs/>
          <w:i/>
          <w:iCs/>
          <w:color w:val="000000"/>
          <w:sz w:val="24"/>
          <w:szCs w:val="24"/>
          <w:u w:val="single"/>
          <w:lang w:val="es-ES" w:eastAsia="es-BO"/>
        </w:rPr>
        <w:t>las posesiones que sean posteriores</w:t>
      </w:r>
      <w:r w:rsidRPr="00CE0B87">
        <w:rPr>
          <w:rFonts w:ascii="Arial" w:eastAsia="Times New Roman" w:hAnsi="Arial" w:cs="Arial"/>
          <w:i/>
          <w:iCs/>
          <w:color w:val="000000"/>
          <w:sz w:val="24"/>
          <w:szCs w:val="24"/>
          <w:u w:val="single"/>
          <w:lang w:val="es-ES" w:eastAsia="es-BO"/>
        </w:rPr>
        <w:t> a la promulgación de la Ley N° 1715; o cuando siendo anteriores, no cumplan la función social o económico – social, recaigan sobre áreas protegidas o afecten derechos legalmente constituidos”</w:t>
      </w:r>
      <w:r w:rsidRPr="00CE0B87">
        <w:rPr>
          <w:rFonts w:ascii="Arial" w:eastAsia="Times New Roman" w:hAnsi="Arial" w:cs="Arial"/>
          <w:i/>
          <w:iCs/>
          <w:color w:val="000000"/>
          <w:sz w:val="24"/>
          <w:szCs w:val="24"/>
          <w:lang w:val="es-ES" w:eastAsia="es-BO"/>
        </w:rPr>
        <w:t> </w:t>
      </w:r>
      <w:r w:rsidRPr="00CE0B87">
        <w:rPr>
          <w:rFonts w:ascii="Arial" w:eastAsia="Times New Roman" w:hAnsi="Arial" w:cs="Arial"/>
          <w:color w:val="000000"/>
          <w:sz w:val="24"/>
          <w:szCs w:val="24"/>
          <w:lang w:val="es-ES" w:eastAsia="es-BO"/>
        </w:rPr>
        <w:t>(el subrayado y negrillas es nuestro).</w:t>
      </w:r>
    </w:p>
    <w:p w14:paraId="2C67658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FJ.II.3.2. Respecto a la Función Económica Social </w:t>
      </w:r>
    </w:p>
    <w:p w14:paraId="15AFCB9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La Constitución Política del Estado (2009), en el art. 393, concordante con el art. 56.I.II, reconoce, protege y garantiza el derecho de propiedad individual o colectiva de la tierra, siempre y cuando se cumpla con la Función Social o la Función Económica Social, según corresponda, así como se garantiza la propiedad privada siempre que el uso que se haga de ella no sea perjudicial al interés colectivo; requisito indispensable que los que pretenden se les reconozca un derecho sobre la misma, deben probarlo con el trabajo, es decir, con actividades productivas o con otra actividad que se encuentre debidamente autorizada con base a las normas legales en vigencia y con prueba legalmente admitida.</w:t>
      </w:r>
    </w:p>
    <w:p w14:paraId="1422DD0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Se debe considerar también, lo establecido en la primera parte del art. 394.I de la Norma Suprema, la cual estipula que</w:t>
      </w:r>
      <w:r w:rsidRPr="00CE0B87">
        <w:rPr>
          <w:rFonts w:ascii="Arial" w:eastAsia="Times New Roman" w:hAnsi="Arial" w:cs="Arial"/>
          <w:i/>
          <w:iCs/>
          <w:color w:val="000000"/>
          <w:sz w:val="24"/>
          <w:szCs w:val="24"/>
          <w:lang w:val="es-ES" w:eastAsia="es-BO"/>
        </w:rPr>
        <w:t> “La propiedad agraria individual se clasifica en pequeña, </w:t>
      </w:r>
      <w:r w:rsidRPr="00CE0B87">
        <w:rPr>
          <w:rFonts w:ascii="Arial" w:eastAsia="Times New Roman" w:hAnsi="Arial" w:cs="Arial"/>
          <w:b/>
          <w:bCs/>
          <w:i/>
          <w:iCs/>
          <w:color w:val="000000"/>
          <w:sz w:val="24"/>
          <w:szCs w:val="24"/>
          <w:lang w:val="es-ES" w:eastAsia="es-BO"/>
        </w:rPr>
        <w:t>mediana y empresarial, en función a la superficie, a la producción y a los criterios de desarrollo…</w:t>
      </w:r>
      <w:r w:rsidRPr="00CE0B87">
        <w:rPr>
          <w:rFonts w:ascii="Arial" w:eastAsia="Times New Roman" w:hAnsi="Arial" w:cs="Arial"/>
          <w:i/>
          <w:iCs/>
          <w:color w:val="000000"/>
          <w:sz w:val="24"/>
          <w:szCs w:val="24"/>
          <w:lang w:val="es-ES" w:eastAsia="es-BO"/>
        </w:rPr>
        <w:t>”</w:t>
      </w:r>
      <w:r w:rsidRPr="00CE0B87">
        <w:rPr>
          <w:rFonts w:ascii="Arial" w:eastAsia="Times New Roman" w:hAnsi="Arial" w:cs="Arial"/>
          <w:color w:val="000000"/>
          <w:sz w:val="24"/>
          <w:szCs w:val="24"/>
          <w:lang w:val="es-ES" w:eastAsia="es-BO"/>
        </w:rPr>
        <w:t> (las negrillas son nuestras).</w:t>
      </w:r>
    </w:p>
    <w:p w14:paraId="1886996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igual modo, el art. 397 de la citada Ley Fundamental, dispone que: </w:t>
      </w:r>
      <w:r w:rsidRPr="00CE0B87">
        <w:rPr>
          <w:rFonts w:ascii="Arial" w:eastAsia="Times New Roman" w:hAnsi="Arial" w:cs="Arial"/>
          <w:i/>
          <w:iCs/>
          <w:color w:val="000000"/>
          <w:sz w:val="24"/>
          <w:szCs w:val="24"/>
          <w:lang w:val="es-ES" w:eastAsia="es-BO"/>
        </w:rPr>
        <w:t>“I. El trabajo es la fuente fundamental para la adquisición y conservación de la propiedad agraria. Las propiedades deberán cumplir con la función social o con la función económica social para salvaguardar su derecho, de acuerdo a la naturaleza de la propiedad (…) </w:t>
      </w:r>
      <w:r w:rsidRPr="00CE0B87">
        <w:rPr>
          <w:rFonts w:ascii="Arial" w:eastAsia="Times New Roman" w:hAnsi="Arial" w:cs="Arial"/>
          <w:b/>
          <w:bCs/>
          <w:i/>
          <w:iCs/>
          <w:color w:val="000000"/>
          <w:sz w:val="24"/>
          <w:szCs w:val="24"/>
          <w:lang w:val="es-ES" w:eastAsia="es-BO"/>
        </w:rPr>
        <w:t>III. La función económica social</w:t>
      </w:r>
      <w:r w:rsidRPr="00CE0B87">
        <w:rPr>
          <w:rFonts w:ascii="Arial" w:eastAsia="Times New Roman" w:hAnsi="Arial" w:cs="Arial"/>
          <w:i/>
          <w:iCs/>
          <w:color w:val="000000"/>
          <w:sz w:val="24"/>
          <w:szCs w:val="24"/>
          <w:lang w:val="es-ES" w:eastAsia="es-BO"/>
        </w:rPr>
        <w:t> debe entenderse como el empleo sustentable de la tierra en el desarrollo de actividades productivas, conforme a su capacidad de uso mayor, en beneficio de la sociedad, del interés colectivo y de su propietario. </w:t>
      </w:r>
      <w:r w:rsidRPr="00CE0B87">
        <w:rPr>
          <w:rFonts w:ascii="Arial" w:eastAsia="Times New Roman" w:hAnsi="Arial" w:cs="Arial"/>
          <w:b/>
          <w:bCs/>
          <w:i/>
          <w:iCs/>
          <w:color w:val="000000"/>
          <w:sz w:val="24"/>
          <w:szCs w:val="24"/>
          <w:lang w:val="es-ES" w:eastAsia="es-BO"/>
        </w:rPr>
        <w:t>La propiedad empresarial está sujeta a revisión de acuerdo con la ley, para verificar el cumplimiento de la función económica y social.</w:t>
      </w:r>
      <w:r w:rsidRPr="00CE0B87">
        <w:rPr>
          <w:rFonts w:ascii="Arial" w:eastAsia="Times New Roman" w:hAnsi="Arial" w:cs="Arial"/>
          <w:i/>
          <w:iCs/>
          <w:color w:val="000000"/>
          <w:sz w:val="24"/>
          <w:szCs w:val="24"/>
          <w:lang w:val="es-ES" w:eastAsia="es-BO"/>
        </w:rPr>
        <w:t>”</w:t>
      </w:r>
      <w:r w:rsidRPr="00CE0B87">
        <w:rPr>
          <w:rFonts w:ascii="Arial" w:eastAsia="Times New Roman" w:hAnsi="Arial" w:cs="Arial"/>
          <w:color w:val="000000"/>
          <w:sz w:val="24"/>
          <w:szCs w:val="24"/>
          <w:lang w:val="es-ES" w:eastAsia="es-BO"/>
        </w:rPr>
        <w:t> (las negrillas son nuestras).</w:t>
      </w:r>
    </w:p>
    <w:p w14:paraId="7EB7FD46"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su parte, el art. 398 de la CPE, expresamente establece que:</w:t>
      </w:r>
      <w:r w:rsidRPr="00CE0B87">
        <w:rPr>
          <w:rFonts w:ascii="Arial" w:eastAsia="Times New Roman" w:hAnsi="Arial" w:cs="Arial"/>
          <w:i/>
          <w:iCs/>
          <w:color w:val="000000"/>
          <w:sz w:val="24"/>
          <w:szCs w:val="24"/>
          <w:lang w:val="es-ES" w:eastAsia="es-BO"/>
        </w:rPr>
        <w:t xml:space="preserve"> “Se prohíbe el latifundio y la doble titulación por ser contrarios al interés colectivo y al desarrollo del país. Se entiende por latifundio la tenencia improductiva de la tierra; la tierra que no cumpla la función económica social; la explotación de la tierra que aplica un sistema de servidumbre, </w:t>
      </w:r>
      <w:proofErr w:type="spellStart"/>
      <w:r w:rsidRPr="00CE0B87">
        <w:rPr>
          <w:rFonts w:ascii="Arial" w:eastAsia="Times New Roman" w:hAnsi="Arial" w:cs="Arial"/>
          <w:i/>
          <w:iCs/>
          <w:color w:val="000000"/>
          <w:sz w:val="24"/>
          <w:szCs w:val="24"/>
          <w:lang w:val="es-ES" w:eastAsia="es-BO"/>
        </w:rPr>
        <w:t>semiesclavitud</w:t>
      </w:r>
      <w:proofErr w:type="spellEnd"/>
      <w:r w:rsidRPr="00CE0B87">
        <w:rPr>
          <w:rFonts w:ascii="Arial" w:eastAsia="Times New Roman" w:hAnsi="Arial" w:cs="Arial"/>
          <w:i/>
          <w:iCs/>
          <w:color w:val="000000"/>
          <w:sz w:val="24"/>
          <w:szCs w:val="24"/>
          <w:lang w:val="es-ES" w:eastAsia="es-BO"/>
        </w:rPr>
        <w:t xml:space="preserve"> o esclavitud en la relación laboral o la propiedad que sobrepasa la superficie máxima zonificada establecida en la ley. La superficie máxima en ningún caso podrá exceder de cinco mil hectáreas.” </w:t>
      </w:r>
      <w:r w:rsidRPr="00CE0B87">
        <w:rPr>
          <w:rFonts w:ascii="Arial" w:eastAsia="Times New Roman" w:hAnsi="Arial" w:cs="Arial"/>
          <w:color w:val="000000"/>
          <w:sz w:val="24"/>
          <w:szCs w:val="24"/>
          <w:lang w:val="es-ES" w:eastAsia="es-BO"/>
        </w:rPr>
        <w:t>Asimismo, el art. 401.I del Texto Constitucional, prevé que:</w:t>
      </w:r>
      <w:r w:rsidRPr="00CE0B87">
        <w:rPr>
          <w:rFonts w:ascii="Arial" w:eastAsia="Times New Roman" w:hAnsi="Arial" w:cs="Arial"/>
          <w:i/>
          <w:iCs/>
          <w:color w:val="000000"/>
          <w:sz w:val="24"/>
          <w:szCs w:val="24"/>
          <w:lang w:val="es-ES" w:eastAsia="es-BO"/>
        </w:rPr>
        <w:t> “El incumplimiento de la función económica social o la tenencia latifundista de la tierra, serán causales de reversión y la tierra pasará a dominio y propiedad del pueblo boliviano.”</w:t>
      </w:r>
    </w:p>
    <w:p w14:paraId="737C661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ese entendido, es necesario mencionar que el art. 2.III.VII.X de la Ley N°1715, modificada por Ley N° 3545, refiere lo siguiente: </w:t>
      </w:r>
      <w:r w:rsidRPr="00CE0B87">
        <w:rPr>
          <w:rFonts w:ascii="Arial" w:eastAsia="Times New Roman" w:hAnsi="Arial" w:cs="Arial"/>
          <w:i/>
          <w:iCs/>
          <w:color w:val="000000"/>
          <w:sz w:val="24"/>
          <w:szCs w:val="24"/>
          <w:lang w:val="es-ES" w:eastAsia="es-BO"/>
        </w:rPr>
        <w:t xml:space="preserve">“III. La Función Económico Social comprende, de manera integral, áreas efectivamente aprovechadas, de descanso, servidumbres ecológicas legales y de proyección de crecimiento; en saneamiento no excederá la superficie consignada en el Título Ejecutorial o en el trámite agrario, salvo la existencia de posesión legal (…) VII. En predios con actividad ganadera, además de la carga animal, se tomará en cuenta, como área efectivamente aprovechada, las áreas </w:t>
      </w:r>
      <w:proofErr w:type="spellStart"/>
      <w:r w:rsidRPr="00CE0B87">
        <w:rPr>
          <w:rFonts w:ascii="Arial" w:eastAsia="Times New Roman" w:hAnsi="Arial" w:cs="Arial"/>
          <w:i/>
          <w:iCs/>
          <w:color w:val="000000"/>
          <w:sz w:val="24"/>
          <w:szCs w:val="24"/>
          <w:lang w:val="es-ES" w:eastAsia="es-BO"/>
        </w:rPr>
        <w:t>silvopastoriles</w:t>
      </w:r>
      <w:proofErr w:type="spellEnd"/>
      <w:r w:rsidRPr="00CE0B87">
        <w:rPr>
          <w:rFonts w:ascii="Arial" w:eastAsia="Times New Roman" w:hAnsi="Arial" w:cs="Arial"/>
          <w:i/>
          <w:iCs/>
          <w:color w:val="000000"/>
          <w:sz w:val="24"/>
          <w:szCs w:val="24"/>
          <w:lang w:val="es-ES" w:eastAsia="es-BO"/>
        </w:rPr>
        <w:t xml:space="preserve"> y las áreas con pasto cultivado. VIII. En las actividades forestales, de conservación y protección de la biodiversidad, la investigación y el ecoturismo, se verificará el otorgamiento regular de las autorizaciones pertinentes, su cumplimiento actual y efectivo, de acuerdo a normas especiales aplicables. </w:t>
      </w:r>
      <w:r w:rsidRPr="00CE0B87">
        <w:rPr>
          <w:rFonts w:ascii="Arial" w:eastAsia="Times New Roman" w:hAnsi="Arial" w:cs="Arial"/>
          <w:i/>
          <w:iCs/>
          <w:color w:val="000000"/>
          <w:sz w:val="24"/>
          <w:szCs w:val="24"/>
          <w:lang w:eastAsia="es-BO"/>
        </w:rPr>
        <w:t xml:space="preserve">X. La superficie efectivamente aprovechada en áreas </w:t>
      </w:r>
      <w:r w:rsidRPr="00CE0B87">
        <w:rPr>
          <w:rFonts w:ascii="Arial" w:eastAsia="Times New Roman" w:hAnsi="Arial" w:cs="Arial"/>
          <w:i/>
          <w:iCs/>
          <w:color w:val="000000"/>
          <w:sz w:val="24"/>
          <w:szCs w:val="24"/>
          <w:lang w:eastAsia="es-BO"/>
        </w:rPr>
        <w:lastRenderedPageBreak/>
        <w:t>agrícolas es la que se encuentra en producción; en propiedades ganaderas es la superficie que corresponda a la cantidad de ganado existente.</w:t>
      </w:r>
      <w:r w:rsidRPr="00CE0B87">
        <w:rPr>
          <w:rFonts w:ascii="Arial" w:eastAsia="Times New Roman" w:hAnsi="Arial" w:cs="Arial"/>
          <w:i/>
          <w:iCs/>
          <w:color w:val="000000"/>
          <w:sz w:val="24"/>
          <w:szCs w:val="24"/>
          <w:lang w:val="es-ES" w:eastAsia="es-BO"/>
        </w:rPr>
        <w:t>”</w:t>
      </w:r>
    </w:p>
    <w:p w14:paraId="0666076F" w14:textId="09893FD6"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otra parte, los parágrafos IV</w:t>
      </w:r>
      <w:r w:rsidR="004B67AA" w:rsidRPr="00CE0B87">
        <w:rPr>
          <w:rFonts w:ascii="Arial" w:eastAsia="Times New Roman" w:hAnsi="Arial" w:cs="Arial"/>
          <w:color w:val="000000"/>
          <w:sz w:val="24"/>
          <w:szCs w:val="24"/>
          <w:lang w:val="es-ES" w:eastAsia="es-BO"/>
        </w:rPr>
        <w:t>,</w:t>
      </w:r>
      <w:r w:rsidRPr="00CE0B87">
        <w:rPr>
          <w:rFonts w:ascii="Arial" w:eastAsia="Times New Roman" w:hAnsi="Arial" w:cs="Arial"/>
          <w:color w:val="000000"/>
          <w:sz w:val="24"/>
          <w:szCs w:val="24"/>
          <w:lang w:val="es-ES" w:eastAsia="es-BO"/>
        </w:rPr>
        <w:t xml:space="preserve"> V, VII y VIII de la precitada disposición legal, señala también que la Función Social o la Función Económico Social, necesariamente será verificada en campo, siendo este el principal medio de comprobación, pudiendo complementariamente los interesados y la administración presentar medios de prueba legalmente admitidos, en cuyo sentido se han establecido disposiciones para su verificación y valoración, de acuerdo al tipo de actividad desarrollada en el predio y en el caso de propiedades que desarrollan actividad ganadera, es fundamental la determinación de la denominada carga animal; para la empresa agrícola será calculada desde un 30% hasta un 50% según parámetro establecido en reglamento, siempre y cuando no exceda la superficie mensurada en saneamiento o la consolidada como emergencia del mismo; y, en las actividades forestales, se verificará las autorizaciones pertinentes, su cumplimiento actual y efectivo, de acuerdo a normas especiales aplicables. Finalmente, el parágrafo XI del citado art. 2 de la citada Norma agraria, determina que:</w:t>
      </w:r>
      <w:r w:rsidRPr="00CE0B87">
        <w:rPr>
          <w:rFonts w:ascii="Arial" w:eastAsia="Times New Roman" w:hAnsi="Arial" w:cs="Arial"/>
          <w:i/>
          <w:iCs/>
          <w:color w:val="000000"/>
          <w:sz w:val="24"/>
          <w:szCs w:val="24"/>
          <w:lang w:val="es-ES" w:eastAsia="es-BO"/>
        </w:rPr>
        <w:t> “Los desmontes ilegales son contrarios al uso sostenible de la tierra y no constituyen cumplimiento de la función social ni de la función económico social”.</w:t>
      </w:r>
    </w:p>
    <w:p w14:paraId="1337D6EA"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Asimismo, en lo que respecta a la propiedad agraria, la Ley N° 1715 modificada por la Ley N° 3545 y su Reglamento agrario, también ha contextualizado con claridad y precisión el significado del cumplimiento de la Función Social y Económico Social, así como de sus presupuestos; en lo referente al cumplimiento de la Función Económico Social, la norma sustantiva ha definido como el empleo sostenible de la tierra en el desarrollo de actividades agropecuarias, forestales y otras de carácter productivo, así como la conservación y protección de la biodiversidad, la investigación y ecoturismo, conforme a su capacidad de uso mayor, en beneficio de la sociedad, e interés colectivo y el de su propietario (art. 2.II de la Ley N° 1715).</w:t>
      </w:r>
    </w:p>
    <w:p w14:paraId="603C7B3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Por otra, el art. 41 de la Ley N° 3545, incluye el principio de “Función Social y Económico - Social”, en el art. 76 de la Ley N° 1715, entendido: </w:t>
      </w:r>
      <w:r w:rsidRPr="00CE0B87">
        <w:rPr>
          <w:rFonts w:ascii="Arial" w:eastAsia="Times New Roman" w:hAnsi="Arial" w:cs="Arial"/>
          <w:i/>
          <w:iCs/>
          <w:color w:val="000000"/>
          <w:sz w:val="24"/>
          <w:szCs w:val="24"/>
          <w:lang w:eastAsia="es-BO"/>
        </w:rPr>
        <w:t>“En virtud del cual la tutela del derecho de propiedad y de la posesión agraria se basa en el cumplimiento de la Función Social o Función Económico-Social conforme el precepto constitucional establecido en el Artículo 166 de la Constitución Política del Estado y de conformidad con el Artículo 2 de la Ley N° 1715, modificada por la presente Ley y su Reglamento”.</w:t>
      </w:r>
    </w:p>
    <w:p w14:paraId="0B4FCD4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Asimismo, el art. 159 del precitado reglamento agrario, expresa que:</w:t>
      </w:r>
      <w:r w:rsidRPr="00CE0B87">
        <w:rPr>
          <w:rFonts w:ascii="Arial" w:eastAsia="Times New Roman" w:hAnsi="Arial" w:cs="Arial"/>
          <w:i/>
          <w:iCs/>
          <w:color w:val="000000"/>
          <w:sz w:val="24"/>
          <w:szCs w:val="24"/>
          <w:lang w:val="es-ES" w:eastAsia="es-BO"/>
        </w:rPr>
        <w:t xml:space="preserve"> “El Instituto Nacional de Reforma Agraria verificará de forma directa en cada predio, la función social o económico social, siendo ésta el principal medio de prueba y cualquier otra </w:t>
      </w:r>
      <w:r w:rsidRPr="00CE0B87">
        <w:rPr>
          <w:rFonts w:ascii="Arial" w:eastAsia="Times New Roman" w:hAnsi="Arial" w:cs="Arial"/>
          <w:i/>
          <w:iCs/>
          <w:color w:val="000000"/>
          <w:sz w:val="24"/>
          <w:szCs w:val="24"/>
          <w:lang w:val="es-ES" w:eastAsia="es-BO"/>
        </w:rPr>
        <w:lastRenderedPageBreak/>
        <w:t>es complementaria. El Instituto Nacional de Reforma Agraria podrá utilizar instrumentos complementarios de verificación, como ser imágenes de satélite, fotografías aéreas, y toda información técnica y/o jurídica idónea que resulte útil, de acuerdo a las normas técnicas y jurídicas aprobadas por esta entidad. Estos instrumentos no sustituyen la verificación directa en campo”.</w:t>
      </w:r>
    </w:p>
    <w:p w14:paraId="0F826CD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su parte, el art. 166 del D.S. N° 29215, dispone: “</w:t>
      </w:r>
      <w:r w:rsidRPr="00CE0B87">
        <w:rPr>
          <w:rFonts w:ascii="Arial" w:eastAsia="Times New Roman" w:hAnsi="Arial" w:cs="Arial"/>
          <w:i/>
          <w:iCs/>
          <w:color w:val="000000"/>
          <w:sz w:val="24"/>
          <w:szCs w:val="24"/>
          <w:lang w:val="es-ES" w:eastAsia="es-BO"/>
        </w:rPr>
        <w:t>I. La Mediana Propiedad y la Empresa Agropecuaria cumplen la función económico - social, cuando sus propietarios o poseedores, desarrollan actividades agropecuarias, forestales, de conservación y protección de la biodiversidad, la investigación y el ecoturismo. II. El funcionario del Instituto Nacional de Reforma Agraria, para determinar la superficie que se encuentra cumpliendo la función económico - social, considerará de manera integral las: a) Áreas efectivamente aprovechadas; b) Áreas en descanso, sólo en predios con actividad agrícola; c) Áreas de proyección de crecimiento; y d) Servidumbres ecológico legales, cuando estén bajo manejo y regularmente autorizadas”.</w:t>
      </w:r>
    </w:p>
    <w:p w14:paraId="1996445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De la misma manera, el art. 346 del D.S. N° 29215, determina que: </w:t>
      </w:r>
      <w:r w:rsidRPr="00CE0B87">
        <w:rPr>
          <w:rFonts w:ascii="Arial" w:eastAsia="Times New Roman" w:hAnsi="Arial" w:cs="Arial"/>
          <w:i/>
          <w:iCs/>
          <w:color w:val="000000"/>
          <w:sz w:val="24"/>
          <w:szCs w:val="24"/>
          <w:lang w:eastAsia="es-BO"/>
        </w:rPr>
        <w:t>“Se dictará </w:t>
      </w:r>
      <w:r w:rsidRPr="00CE0B87">
        <w:rPr>
          <w:rFonts w:ascii="Arial" w:eastAsia="Times New Roman" w:hAnsi="Arial" w:cs="Arial"/>
          <w:b/>
          <w:bCs/>
          <w:i/>
          <w:iCs/>
          <w:color w:val="000000"/>
          <w:sz w:val="24"/>
          <w:szCs w:val="24"/>
          <w:lang w:eastAsia="es-BO"/>
        </w:rPr>
        <w:t>Resolución no constitutiva de derecho y de Ilegalidad de la Posesión, cuando el poseedor</w:t>
      </w:r>
      <w:r w:rsidRPr="00CE0B87">
        <w:rPr>
          <w:rFonts w:ascii="Arial" w:eastAsia="Times New Roman" w:hAnsi="Arial" w:cs="Arial"/>
          <w:i/>
          <w:iCs/>
          <w:color w:val="000000"/>
          <w:sz w:val="24"/>
          <w:szCs w:val="24"/>
          <w:lang w:eastAsia="es-BO"/>
        </w:rPr>
        <w:t> incumpla la función social o económico social, </w:t>
      </w:r>
      <w:r w:rsidRPr="00CE0B87">
        <w:rPr>
          <w:rFonts w:ascii="Arial" w:eastAsia="Times New Roman" w:hAnsi="Arial" w:cs="Arial"/>
          <w:b/>
          <w:bCs/>
          <w:i/>
          <w:iCs/>
          <w:color w:val="000000"/>
          <w:sz w:val="24"/>
          <w:szCs w:val="24"/>
          <w:lang w:eastAsia="es-BO"/>
        </w:rPr>
        <w:t>afecte derechos legalmente constituidos</w:t>
      </w:r>
      <w:r w:rsidRPr="00CE0B87">
        <w:rPr>
          <w:rFonts w:ascii="Arial" w:eastAsia="Times New Roman" w:hAnsi="Arial" w:cs="Arial"/>
          <w:i/>
          <w:iCs/>
          <w:color w:val="000000"/>
          <w:sz w:val="24"/>
          <w:szCs w:val="24"/>
          <w:lang w:eastAsia="es-BO"/>
        </w:rPr>
        <w:t> o la ejerza sobre áreas protegidas, conforme lo dispuesto en este Reglamento. Asimismo, incluirá si corresponde, lo establecido en el Parágrafo II del Artículo anterior.” </w:t>
      </w:r>
      <w:r w:rsidRPr="00CE0B87">
        <w:rPr>
          <w:rFonts w:ascii="Arial" w:eastAsia="Times New Roman" w:hAnsi="Arial" w:cs="Arial"/>
          <w:color w:val="000000"/>
          <w:sz w:val="24"/>
          <w:szCs w:val="24"/>
          <w:lang w:val="es-MX" w:eastAsia="es-BO"/>
        </w:rPr>
        <w:t>(</w:t>
      </w:r>
      <w:r w:rsidRPr="00CE0B87">
        <w:rPr>
          <w:rFonts w:ascii="Arial" w:eastAsia="Times New Roman" w:hAnsi="Arial" w:cs="Arial"/>
          <w:color w:val="000000"/>
          <w:sz w:val="24"/>
          <w:szCs w:val="24"/>
          <w:lang w:val="es-ES" w:eastAsia="es-BO"/>
        </w:rPr>
        <w:t>las negrillas es nuestro</w:t>
      </w:r>
      <w:r w:rsidRPr="00CE0B87">
        <w:rPr>
          <w:rFonts w:ascii="Arial" w:eastAsia="Times New Roman" w:hAnsi="Arial" w:cs="Arial"/>
          <w:color w:val="000000"/>
          <w:sz w:val="24"/>
          <w:szCs w:val="24"/>
          <w:lang w:val="es-MX" w:eastAsia="es-BO"/>
        </w:rPr>
        <w:t>).</w:t>
      </w:r>
    </w:p>
    <w:p w14:paraId="34C91F2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FJ.II.4. De las Relaciones Servidumbrales.</w:t>
      </w:r>
    </w:p>
    <w:p w14:paraId="22BC77E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Al respecto, es importante precisar que la</w:t>
      </w:r>
      <w:r w:rsidRPr="00CE0B87">
        <w:rPr>
          <w:rFonts w:ascii="Arial" w:eastAsia="Times New Roman" w:hAnsi="Arial" w:cs="Arial"/>
          <w:b/>
          <w:bCs/>
          <w:color w:val="000000"/>
          <w:sz w:val="24"/>
          <w:szCs w:val="24"/>
          <w:lang w:val="es-ES" w:eastAsia="es-BO"/>
        </w:rPr>
        <w:t> </w:t>
      </w:r>
      <w:r w:rsidRPr="00CE0B87">
        <w:rPr>
          <w:rFonts w:ascii="Arial" w:eastAsia="Times New Roman" w:hAnsi="Arial" w:cs="Arial"/>
          <w:color w:val="000000"/>
          <w:sz w:val="24"/>
          <w:szCs w:val="24"/>
          <w:lang w:val="es-ES" w:eastAsia="es-BO"/>
        </w:rPr>
        <w:t>Constitución Política del Estado,</w:t>
      </w:r>
      <w:r w:rsidRPr="00CE0B87">
        <w:rPr>
          <w:rFonts w:ascii="Arial" w:eastAsia="Times New Roman" w:hAnsi="Arial" w:cs="Arial"/>
          <w:b/>
          <w:bCs/>
          <w:color w:val="000000"/>
          <w:sz w:val="24"/>
          <w:szCs w:val="24"/>
          <w:lang w:val="es-ES" w:eastAsia="es-BO"/>
        </w:rPr>
        <w:t> </w:t>
      </w:r>
      <w:r w:rsidRPr="00CE0B87">
        <w:rPr>
          <w:rFonts w:ascii="Arial" w:eastAsia="Times New Roman" w:hAnsi="Arial" w:cs="Arial"/>
          <w:color w:val="000000"/>
          <w:sz w:val="24"/>
          <w:szCs w:val="24"/>
          <w:lang w:val="es-ES" w:eastAsia="es-BO"/>
        </w:rPr>
        <w:t>en su art. 15.V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i/>
          <w:iCs/>
          <w:color w:val="000000"/>
          <w:sz w:val="24"/>
          <w:szCs w:val="24"/>
          <w:lang w:val="es-ES" w:eastAsia="es-BO"/>
        </w:rPr>
        <w:t>Ninguna persona podrá ser sometida a servidumbre ni esclavitud. Se prohíbe la trata y tráfico de personas…</w:t>
      </w:r>
      <w:r w:rsidRPr="00CE0B87">
        <w:rPr>
          <w:rFonts w:ascii="Arial" w:eastAsia="Times New Roman" w:hAnsi="Arial" w:cs="Arial"/>
          <w:color w:val="000000"/>
          <w:sz w:val="24"/>
          <w:szCs w:val="24"/>
          <w:lang w:val="es-ES" w:eastAsia="es-BO"/>
        </w:rPr>
        <w:t>”, concordante con el art. 46, que señala: </w:t>
      </w:r>
      <w:r w:rsidRPr="00CE0B87">
        <w:rPr>
          <w:rFonts w:ascii="Arial" w:eastAsia="Times New Roman" w:hAnsi="Arial" w:cs="Arial"/>
          <w:i/>
          <w:iCs/>
          <w:color w:val="000000"/>
          <w:sz w:val="24"/>
          <w:szCs w:val="24"/>
          <w:lang w:val="es-ES" w:eastAsia="es-BO"/>
        </w:rPr>
        <w:t>“I. Toda persona tiene derecho: </w:t>
      </w:r>
      <w:r w:rsidRPr="00CE0B87">
        <w:rPr>
          <w:rFonts w:ascii="Arial" w:eastAsia="Times New Roman" w:hAnsi="Arial" w:cs="Arial"/>
          <w:b/>
          <w:bCs/>
          <w:i/>
          <w:iCs/>
          <w:color w:val="000000"/>
          <w:sz w:val="24"/>
          <w:szCs w:val="24"/>
          <w:lang w:val="es-ES" w:eastAsia="es-BO"/>
        </w:rPr>
        <w:t>1. Al trabajo digno, con seguridad industrial, higiene y salud ocupacional, sin discriminación, y con remuneración o salario justo, equitativo y satisfactorio, que le asegure para sí y su familia una existencia digna</w:t>
      </w:r>
      <w:r w:rsidRPr="00CE0B87">
        <w:rPr>
          <w:rFonts w:ascii="Arial" w:eastAsia="Times New Roman" w:hAnsi="Arial" w:cs="Arial"/>
          <w:i/>
          <w:iCs/>
          <w:color w:val="000000"/>
          <w:sz w:val="24"/>
          <w:szCs w:val="24"/>
          <w:lang w:val="es-ES" w:eastAsia="es-BO"/>
        </w:rPr>
        <w:t>. 2. A una fuente laboral estable, en condiciones equitativas y satisfactorias. II. El Estado protegerá el ejercicio del trabajo en todas sus formas. III. Se prohíbe toda forma de trabajo forzoso u otro modo análogo de explotación que obligue a una persona a realizar labores sin su consentimiento y justa retribución</w:t>
      </w:r>
      <w:r w:rsidRPr="00CE0B87">
        <w:rPr>
          <w:rFonts w:ascii="Arial" w:eastAsia="Times New Roman" w:hAnsi="Arial" w:cs="Arial"/>
          <w:color w:val="000000"/>
          <w:sz w:val="24"/>
          <w:szCs w:val="24"/>
          <w:lang w:val="es-ES" w:eastAsia="es-BO"/>
        </w:rPr>
        <w:t>”; disposición que tiene relación con el art. 22 de la misma Ley Fundamental, al establecer que: </w:t>
      </w:r>
      <w:r w:rsidRPr="00CE0B87">
        <w:rPr>
          <w:rFonts w:ascii="Arial" w:eastAsia="Times New Roman" w:hAnsi="Arial" w:cs="Arial"/>
          <w:i/>
          <w:iCs/>
          <w:color w:val="000000"/>
          <w:sz w:val="24"/>
          <w:szCs w:val="24"/>
          <w:lang w:val="es-ES" w:eastAsia="es-BO"/>
        </w:rPr>
        <w:t>“La dignidad y la libertad de la persona son inviolables. Respetarlas y protegerlas es deber primordial del Estado.”</w:t>
      </w:r>
    </w:p>
    <w:p w14:paraId="334FB76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Por su parte, como obligaciones o deberes de las bolivianas y los bolivianos, el art. 108 de la Norma Constitucional, prevé, entre otras, la de: 1. Conocer, cumplir y </w:t>
      </w:r>
      <w:r w:rsidRPr="00CE0B87">
        <w:rPr>
          <w:rFonts w:ascii="Arial" w:eastAsia="Times New Roman" w:hAnsi="Arial" w:cs="Arial"/>
          <w:color w:val="000000"/>
          <w:sz w:val="24"/>
          <w:szCs w:val="24"/>
          <w:lang w:val="es-ES" w:eastAsia="es-BO"/>
        </w:rPr>
        <w:lastRenderedPageBreak/>
        <w:t>hacer cumplir la Constitución y las leyes; 2. Conocer, respetar y promover los derechos reconocidos en la Constitución; 3. Promover y difundir la práctica de los valores y principios que proclama la Constitución.</w:t>
      </w:r>
    </w:p>
    <w:p w14:paraId="143AA00A"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 xml:space="preserve">También prevé que la explotación de la tierra que aplica un sistema de servidumbre, </w:t>
      </w:r>
      <w:proofErr w:type="spellStart"/>
      <w:r w:rsidRPr="00CE0B87">
        <w:rPr>
          <w:rFonts w:ascii="Arial" w:eastAsia="Times New Roman" w:hAnsi="Arial" w:cs="Arial"/>
          <w:color w:val="000000"/>
          <w:sz w:val="24"/>
          <w:szCs w:val="24"/>
          <w:lang w:val="es-ES" w:eastAsia="es-BO"/>
        </w:rPr>
        <w:t>semiesclavitud</w:t>
      </w:r>
      <w:proofErr w:type="spellEnd"/>
      <w:r w:rsidRPr="00CE0B87">
        <w:rPr>
          <w:rFonts w:ascii="Arial" w:eastAsia="Times New Roman" w:hAnsi="Arial" w:cs="Arial"/>
          <w:color w:val="000000"/>
          <w:sz w:val="24"/>
          <w:szCs w:val="24"/>
          <w:lang w:val="es-ES" w:eastAsia="es-BO"/>
        </w:rPr>
        <w:t xml:space="preserve"> o esclavitud en la relación laboral, es entendido como latifundio, por ser contrario al interés colectivo y al desarrollo del país, consecuentemente no puede ser considerado como cumplimiento de la función económica social, siendo, por tanto, causal de reversión, volviendo el predio a dominio y propiedad del pueblo boliviano (Arts. 398 y 401.I, CPE); disposiciones constitucionales, que tienen concordancia con lo dispuesto en el art. 358 de la misma Norma Suprema, respecto a que: “</w:t>
      </w:r>
      <w:r w:rsidRPr="00CE0B87">
        <w:rPr>
          <w:rFonts w:ascii="Arial" w:eastAsia="Times New Roman" w:hAnsi="Arial" w:cs="Arial"/>
          <w:b/>
          <w:bCs/>
          <w:i/>
          <w:iCs/>
          <w:color w:val="000000"/>
          <w:sz w:val="24"/>
          <w:szCs w:val="24"/>
          <w:lang w:val="es-ES" w:eastAsia="es-BO"/>
        </w:rPr>
        <w:t>Los derechos de uso y aprovechamiento sobre los recursos naturales deberán sujetarse</w:t>
      </w:r>
      <w:r w:rsidRPr="00CE0B87">
        <w:rPr>
          <w:rFonts w:ascii="Arial" w:eastAsia="Times New Roman" w:hAnsi="Arial" w:cs="Arial"/>
          <w:color w:val="000000"/>
          <w:sz w:val="24"/>
          <w:szCs w:val="24"/>
          <w:lang w:val="es-ES" w:eastAsia="es-BO"/>
        </w:rPr>
        <w:t> a lo establecido en la Constitución y la ley. Estos derechos estarán sujetos a control periódico del cumplimiento de las regulaciones técnicas, económicas y ambientales. </w:t>
      </w:r>
      <w:r w:rsidRPr="00CE0B87">
        <w:rPr>
          <w:rFonts w:ascii="Arial" w:eastAsia="Times New Roman" w:hAnsi="Arial" w:cs="Arial"/>
          <w:b/>
          <w:bCs/>
          <w:i/>
          <w:iCs/>
          <w:color w:val="000000"/>
          <w:sz w:val="24"/>
          <w:szCs w:val="24"/>
          <w:lang w:val="es-ES" w:eastAsia="es-BO"/>
        </w:rPr>
        <w:t>El incumplimiento de la ley dará lugar a la reversión o anulación de los derechos</w:t>
      </w:r>
      <w:r w:rsidRPr="00CE0B87">
        <w:rPr>
          <w:rFonts w:ascii="Arial" w:eastAsia="Times New Roman" w:hAnsi="Arial" w:cs="Arial"/>
          <w:color w:val="000000"/>
          <w:sz w:val="24"/>
          <w:szCs w:val="24"/>
          <w:lang w:val="es-ES" w:eastAsia="es-BO"/>
        </w:rPr>
        <w:t> de uso o aprovechamiento”; por cuanto los recursos naturales (tierra, suelo, subsuelo) son de propiedad y dominio directo, indivisible e imprescriptible del pueblo boliviano, y corresponde al Estado su administración en función del interés colectivo, reconociendo, respetando y otorgando derechos propietarios individuales y colectivos sobre la tierra, así como derechos de uso y aprovechamiento sobre otros recursos naturales (Art. 349.I.II, CPE).</w:t>
      </w:r>
    </w:p>
    <w:p w14:paraId="281A620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otra parte, el Reglamento agrario aprobado mediante el D.S. N° 29215 de 02 de agosto de 2007 y sus respectivas modificaciones, en su art. 3.m), refiere: “…</w:t>
      </w:r>
      <w:r w:rsidRPr="00CE0B87">
        <w:rPr>
          <w:rFonts w:ascii="Arial" w:eastAsia="Times New Roman" w:hAnsi="Arial" w:cs="Arial"/>
          <w:b/>
          <w:bCs/>
          <w:i/>
          <w:iCs/>
          <w:color w:val="000000"/>
          <w:sz w:val="24"/>
          <w:szCs w:val="24"/>
          <w:lang w:val="es-ES" w:eastAsia="es-BO"/>
        </w:rPr>
        <w:t>El no reconocimiento de ningún derecho y la pérdida del mismo, además de la obligatoria denuncia ante autoridades competentes, cuando se establezca la existencia de relaciones servidumbrales como efecto de cualquier actividad dentro de un predio agrario</w:t>
      </w:r>
      <w:r w:rsidRPr="00CE0B87">
        <w:rPr>
          <w:rFonts w:ascii="Arial" w:eastAsia="Times New Roman" w:hAnsi="Arial" w:cs="Arial"/>
          <w:color w:val="000000"/>
          <w:sz w:val="24"/>
          <w:szCs w:val="24"/>
          <w:lang w:val="es-ES" w:eastAsia="es-BO"/>
        </w:rPr>
        <w:t>…”; disposición concordante con el art. 157 de la citada norma reglamentaria, que en caso de </w:t>
      </w:r>
      <w:r w:rsidRPr="00CE0B87">
        <w:rPr>
          <w:rFonts w:ascii="Arial" w:eastAsia="Times New Roman" w:hAnsi="Arial" w:cs="Arial"/>
          <w:color w:val="000000"/>
          <w:sz w:val="24"/>
          <w:szCs w:val="24"/>
          <w:lang w:eastAsia="es-BO"/>
        </w:rPr>
        <w:t>establecerse que con relación al personal asalariado cuando exista incumplimiento de obligaciones laborales, el INRA</w:t>
      </w:r>
      <w:r w:rsidRPr="00CE0B87">
        <w:rPr>
          <w:rFonts w:ascii="Arial" w:eastAsia="Times New Roman" w:hAnsi="Arial" w:cs="Arial"/>
          <w:color w:val="000000"/>
          <w:sz w:val="24"/>
          <w:szCs w:val="24"/>
          <w:lang w:val="es-ES" w:eastAsia="es-BO"/>
        </w:rPr>
        <w:t> debiera de </w:t>
      </w:r>
      <w:r w:rsidRPr="00CE0B87">
        <w:rPr>
          <w:rFonts w:ascii="Arial" w:eastAsia="Times New Roman" w:hAnsi="Arial" w:cs="Arial"/>
          <w:color w:val="000000"/>
          <w:sz w:val="24"/>
          <w:szCs w:val="24"/>
          <w:lang w:eastAsia="es-BO"/>
        </w:rPr>
        <w:t>denunciar ante la instancia competente, según corresponda.</w:t>
      </w:r>
    </w:p>
    <w:p w14:paraId="172F311C" w14:textId="476AE956"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Asimismo, el </w:t>
      </w:r>
      <w:r w:rsidRPr="00CE0B87">
        <w:rPr>
          <w:rFonts w:ascii="Arial" w:eastAsia="Times New Roman" w:hAnsi="Arial" w:cs="Arial"/>
          <w:color w:val="000000"/>
          <w:sz w:val="24"/>
          <w:szCs w:val="24"/>
          <w:lang w:eastAsia="es-BO"/>
        </w:rPr>
        <w:t>Reglamento para la Verificación, Comprobación y Determinación de la Existencia de Relaciones Servidumbrales, Trabajo Forzoso y Formas Análogas, aprobado por D.S. Nº 388, 23 de diciembre de 2009</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en su art.</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val="es-ES" w:eastAsia="es-BO"/>
        </w:rPr>
        <w:t>1, refiere : </w:t>
      </w:r>
      <w:r w:rsidRPr="00CE0B87">
        <w:rPr>
          <w:rFonts w:ascii="Arial" w:eastAsia="Times New Roman" w:hAnsi="Arial" w:cs="Arial"/>
          <w:i/>
          <w:iCs/>
          <w:color w:val="000000"/>
          <w:sz w:val="24"/>
          <w:szCs w:val="24"/>
          <w:lang w:val="es-ES" w:eastAsia="es-BO"/>
        </w:rPr>
        <w:t xml:space="preserve">“El presente Reglamento tiene por objeto definir los criterios, la metodología y procedimientos a ser aplicados por parte del Instituto Nacional de Reforma Agraria - INRA, para la verificación, comprobación y determinación de la existencia de sistemas </w:t>
      </w:r>
      <w:proofErr w:type="spellStart"/>
      <w:r w:rsidRPr="00CE0B87">
        <w:rPr>
          <w:rFonts w:ascii="Arial" w:eastAsia="Times New Roman" w:hAnsi="Arial" w:cs="Arial"/>
          <w:i/>
          <w:iCs/>
          <w:color w:val="000000"/>
          <w:sz w:val="24"/>
          <w:szCs w:val="24"/>
          <w:lang w:val="es-ES" w:eastAsia="es-BO"/>
        </w:rPr>
        <w:t>servidumbrales</w:t>
      </w:r>
      <w:proofErr w:type="spellEnd"/>
      <w:r w:rsidRPr="00CE0B87">
        <w:rPr>
          <w:rFonts w:ascii="Arial" w:eastAsia="Times New Roman" w:hAnsi="Arial" w:cs="Arial"/>
          <w:i/>
          <w:iCs/>
          <w:color w:val="000000"/>
          <w:sz w:val="24"/>
          <w:szCs w:val="24"/>
          <w:lang w:val="es-ES" w:eastAsia="es-BO"/>
        </w:rPr>
        <w:t xml:space="preserve">, trabajo forzoso, </w:t>
      </w:r>
      <w:proofErr w:type="spellStart"/>
      <w:r w:rsidRPr="00CE0B87">
        <w:rPr>
          <w:rFonts w:ascii="Arial" w:eastAsia="Times New Roman" w:hAnsi="Arial" w:cs="Arial"/>
          <w:i/>
          <w:iCs/>
          <w:color w:val="000000"/>
          <w:sz w:val="24"/>
          <w:szCs w:val="24"/>
          <w:lang w:val="es-ES" w:eastAsia="es-BO"/>
        </w:rPr>
        <w:t>peonazgo</w:t>
      </w:r>
      <w:proofErr w:type="spellEnd"/>
      <w:r w:rsidRPr="00CE0B87">
        <w:rPr>
          <w:rFonts w:ascii="Arial" w:eastAsia="Times New Roman" w:hAnsi="Arial" w:cs="Arial"/>
          <w:i/>
          <w:iCs/>
          <w:color w:val="000000"/>
          <w:sz w:val="24"/>
          <w:szCs w:val="24"/>
          <w:lang w:val="es-ES" w:eastAsia="es-BO"/>
        </w:rPr>
        <w:t xml:space="preserve"> por deudas y/o esclavitud de familias </w:t>
      </w:r>
      <w:r w:rsidR="006853E9" w:rsidRPr="00CE0B87">
        <w:rPr>
          <w:rFonts w:ascii="Arial" w:eastAsia="Times New Roman" w:hAnsi="Arial" w:cs="Arial"/>
          <w:i/>
          <w:iCs/>
          <w:color w:val="000000"/>
          <w:sz w:val="24"/>
          <w:szCs w:val="24"/>
          <w:lang w:val="es-ES" w:eastAsia="es-BO"/>
        </w:rPr>
        <w:t>o</w:t>
      </w:r>
      <w:r w:rsidRPr="00CE0B87">
        <w:rPr>
          <w:rFonts w:ascii="Arial" w:eastAsia="Times New Roman" w:hAnsi="Arial" w:cs="Arial"/>
          <w:i/>
          <w:iCs/>
          <w:color w:val="000000"/>
          <w:sz w:val="24"/>
          <w:szCs w:val="24"/>
          <w:lang w:val="es-ES" w:eastAsia="es-BO"/>
        </w:rPr>
        <w:t xml:space="preserve"> personas cautivas o formas análogas, en predios agrarios</w:t>
      </w:r>
      <w:r w:rsidRPr="00CE0B87">
        <w:rPr>
          <w:rFonts w:ascii="Arial" w:eastAsia="Times New Roman" w:hAnsi="Arial" w:cs="Arial"/>
          <w:color w:val="000000"/>
          <w:sz w:val="24"/>
          <w:szCs w:val="24"/>
          <w:lang w:val="es-ES" w:eastAsia="es-BO"/>
        </w:rPr>
        <w:t>.</w:t>
      </w:r>
    </w:p>
    <w:p w14:paraId="087BCA1B"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lastRenderedPageBreak/>
        <w:t xml:space="preserve">Artículo 4.- (Definiciones) En el marco de lo establecido en el Artículo 2 del Decreto Supremo Nº 29802, se entiende que en un predio agrario existe un sistema </w:t>
      </w:r>
      <w:proofErr w:type="spellStart"/>
      <w:r w:rsidRPr="00CE0B87">
        <w:rPr>
          <w:rFonts w:ascii="Arial" w:eastAsia="Times New Roman" w:hAnsi="Arial" w:cs="Arial"/>
          <w:i/>
          <w:iCs/>
          <w:color w:val="000000"/>
          <w:sz w:val="24"/>
          <w:szCs w:val="24"/>
          <w:lang w:val="es-ES" w:eastAsia="es-BO"/>
        </w:rPr>
        <w:t>servidumbral</w:t>
      </w:r>
      <w:proofErr w:type="spellEnd"/>
      <w:r w:rsidRPr="00CE0B87">
        <w:rPr>
          <w:rFonts w:ascii="Arial" w:eastAsia="Times New Roman" w:hAnsi="Arial" w:cs="Arial"/>
          <w:i/>
          <w:iCs/>
          <w:color w:val="000000"/>
          <w:sz w:val="24"/>
          <w:szCs w:val="24"/>
          <w:lang w:val="es-ES" w:eastAsia="es-BO"/>
        </w:rPr>
        <w:t xml:space="preserve">, trabajo forzoso, </w:t>
      </w:r>
      <w:proofErr w:type="spellStart"/>
      <w:r w:rsidRPr="00CE0B87">
        <w:rPr>
          <w:rFonts w:ascii="Arial" w:eastAsia="Times New Roman" w:hAnsi="Arial" w:cs="Arial"/>
          <w:i/>
          <w:iCs/>
          <w:color w:val="000000"/>
          <w:sz w:val="24"/>
          <w:szCs w:val="24"/>
          <w:lang w:val="es-ES" w:eastAsia="es-BO"/>
        </w:rPr>
        <w:t>peonazgo</w:t>
      </w:r>
      <w:proofErr w:type="spellEnd"/>
      <w:r w:rsidRPr="00CE0B87">
        <w:rPr>
          <w:rFonts w:ascii="Arial" w:eastAsia="Times New Roman" w:hAnsi="Arial" w:cs="Arial"/>
          <w:i/>
          <w:iCs/>
          <w:color w:val="000000"/>
          <w:sz w:val="24"/>
          <w:szCs w:val="24"/>
          <w:lang w:val="es-ES" w:eastAsia="es-BO"/>
        </w:rPr>
        <w:t xml:space="preserve"> por deudas y/o esclavitud de familias o personas cautivas o formas análogas, cuando comunidades, familias o personas trabajen o presten un servicio al propietario o titular del predio, en el desarrollo de las actividades agrarias, con:</w:t>
      </w:r>
    </w:p>
    <w:p w14:paraId="1005138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Violación de los derechos fundamentales, bajo sometimiento y sin el pleno consentimiento de los trabajadores; o </w:t>
      </w:r>
      <w:r w:rsidRPr="00CE0B87">
        <w:rPr>
          <w:rFonts w:ascii="Arial" w:eastAsia="Times New Roman" w:hAnsi="Arial" w:cs="Arial"/>
          <w:b/>
          <w:bCs/>
          <w:i/>
          <w:iCs/>
          <w:color w:val="000000"/>
          <w:sz w:val="24"/>
          <w:szCs w:val="24"/>
          <w:lang w:val="es-ES" w:eastAsia="es-BO"/>
        </w:rPr>
        <w:t>Incumplimiento de obligaciones de pago de salario, sea que se pague en especie o por debajo del salario mínimo nacional establecido</w:t>
      </w:r>
      <w:r w:rsidRPr="00CE0B87">
        <w:rPr>
          <w:rFonts w:ascii="Arial" w:eastAsia="Times New Roman" w:hAnsi="Arial" w:cs="Arial"/>
          <w:i/>
          <w:iCs/>
          <w:color w:val="000000"/>
          <w:sz w:val="24"/>
          <w:szCs w:val="24"/>
          <w:lang w:val="es-ES" w:eastAsia="es-BO"/>
        </w:rPr>
        <w:t>.</w:t>
      </w:r>
    </w:p>
    <w:p w14:paraId="6167EF99" w14:textId="2BD19F34" w:rsidR="00820DA6" w:rsidRPr="00CE0B87" w:rsidRDefault="00D17099" w:rsidP="00CE0B87">
      <w:pPr>
        <w:spacing w:after="0" w:line="360" w:lineRule="auto"/>
        <w:jc w:val="both"/>
        <w:rPr>
          <w:rFonts w:ascii="Arial" w:eastAsia="Times New Roman" w:hAnsi="Arial" w:cs="Arial"/>
          <w:i/>
          <w:iCs/>
          <w:color w:val="000000"/>
          <w:sz w:val="24"/>
          <w:szCs w:val="24"/>
          <w:lang w:val="es-ES" w:eastAsia="es-BO"/>
        </w:rPr>
      </w:pPr>
      <w:r w:rsidRPr="00CE0B87">
        <w:rPr>
          <w:rFonts w:ascii="Arial" w:eastAsia="Times New Roman" w:hAnsi="Arial" w:cs="Arial"/>
          <w:i/>
          <w:iCs/>
          <w:color w:val="000000"/>
          <w:sz w:val="24"/>
          <w:szCs w:val="24"/>
          <w:lang w:val="es-ES" w:eastAsia="es-BO"/>
        </w:rPr>
        <w:t>Artículos 8.- (Difusión y formularios), 9.- (Condiciones para el levantamiento de la información), 10</w:t>
      </w:r>
      <w:r w:rsidR="00820DA6" w:rsidRPr="00CE0B87">
        <w:rPr>
          <w:rFonts w:ascii="Arial" w:eastAsia="Times New Roman" w:hAnsi="Arial" w:cs="Arial"/>
          <w:i/>
          <w:iCs/>
          <w:color w:val="000000"/>
          <w:sz w:val="24"/>
          <w:szCs w:val="24"/>
          <w:lang w:val="es-ES" w:eastAsia="es-BO"/>
        </w:rPr>
        <w:t xml:space="preserve">.- </w:t>
      </w:r>
      <w:r w:rsidRPr="00CE0B87">
        <w:rPr>
          <w:rFonts w:ascii="Arial" w:eastAsia="Times New Roman" w:hAnsi="Arial" w:cs="Arial"/>
          <w:i/>
          <w:iCs/>
          <w:color w:val="000000"/>
          <w:sz w:val="24"/>
          <w:szCs w:val="24"/>
          <w:lang w:val="es-ES" w:eastAsia="es-BO"/>
        </w:rPr>
        <w:t>(Actividades complementarias de la brigada de campo) y 12.- (Información complementaria) dispone el Procedimiento de verificación de relaciones servidumbrales durante la verificación de la función económico social</w:t>
      </w:r>
      <w:r w:rsidR="00A55E2F" w:rsidRPr="00CE0B87">
        <w:rPr>
          <w:rFonts w:ascii="Arial" w:eastAsia="Times New Roman" w:hAnsi="Arial" w:cs="Arial"/>
          <w:i/>
          <w:iCs/>
          <w:color w:val="000000"/>
          <w:sz w:val="24"/>
          <w:szCs w:val="24"/>
          <w:lang w:val="es-ES" w:eastAsia="es-BO"/>
        </w:rPr>
        <w:t xml:space="preserve"> que el INRA debe sustanciar.</w:t>
      </w:r>
    </w:p>
    <w:p w14:paraId="6B5FA92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Artículo 13.- (Análisis y valoración) I. La existencia de relaciones servidumbrales será determinada por el INRA de comprobarse: a) la violación de los derechos fundamentales, sea en relación a uno o más trabajadores, o b</w:t>
      </w:r>
      <w:r w:rsidRPr="00CE0B87">
        <w:rPr>
          <w:rFonts w:ascii="Arial" w:eastAsia="Times New Roman" w:hAnsi="Arial" w:cs="Arial"/>
          <w:b/>
          <w:bCs/>
          <w:i/>
          <w:iCs/>
          <w:color w:val="000000"/>
          <w:sz w:val="24"/>
          <w:szCs w:val="24"/>
          <w:lang w:val="es-ES" w:eastAsia="es-BO"/>
        </w:rPr>
        <w:t>) el incumplimiento del pago salarial, sea que no se pague, se pague en especie, parcialmente o por debajo del salario mínimo nacional establecido</w:t>
      </w:r>
      <w:r w:rsidRPr="00CE0B87">
        <w:rPr>
          <w:rFonts w:ascii="Arial" w:eastAsia="Times New Roman" w:hAnsi="Arial" w:cs="Arial"/>
          <w:i/>
          <w:iCs/>
          <w:color w:val="000000"/>
          <w:sz w:val="24"/>
          <w:szCs w:val="24"/>
          <w:lang w:val="es-ES" w:eastAsia="es-BO"/>
        </w:rPr>
        <w:t>.</w:t>
      </w:r>
    </w:p>
    <w:p w14:paraId="4FEA396E" w14:textId="77777777" w:rsidR="00820DA6" w:rsidRPr="00CE0B87" w:rsidRDefault="00820DA6" w:rsidP="00CE0B87">
      <w:pPr>
        <w:spacing w:after="0" w:line="360" w:lineRule="auto"/>
        <w:ind w:left="720" w:hanging="360"/>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a.    La violación de los derechos fundamentales, sea en relación a uno o más trabajadores. La violación de derechos fundamentales es suficiente para acreditar la existencia de relaciones servidumbrales por sí sola. La falta de libertad o la existencia de voluntad limitada, implican en sí mismas violación de derechos fundamentales. En relación al maltrato físico o psíquico y la explotación laboral (incluida la de niñas, niños o adolescentes) éstos deberán concurrir para determinar la existencia de la violación de los derechos fundamentales en el predio.</w:t>
      </w:r>
    </w:p>
    <w:p w14:paraId="67AA0434" w14:textId="77777777" w:rsidR="00820DA6" w:rsidRPr="00CE0B87" w:rsidRDefault="00820DA6" w:rsidP="00CE0B87">
      <w:pPr>
        <w:spacing w:after="0" w:line="360" w:lineRule="auto"/>
        <w:ind w:left="720" w:hanging="360"/>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b.    El incumplimiento del pago salarial. </w:t>
      </w:r>
      <w:r w:rsidRPr="00CE0B87">
        <w:rPr>
          <w:rFonts w:ascii="Arial" w:eastAsia="Times New Roman" w:hAnsi="Arial" w:cs="Arial"/>
          <w:b/>
          <w:bCs/>
          <w:i/>
          <w:iCs/>
          <w:color w:val="000000"/>
          <w:sz w:val="24"/>
          <w:szCs w:val="24"/>
          <w:lang w:val="es-ES" w:eastAsia="es-BO"/>
        </w:rPr>
        <w:t>El incumplimiento de pago de salarios, los pagos inferiores al mínimo, parciales o en especie, descritos en el inciso del Artículo 6 del presente Reglamento, son suficientes para acreditar la existencia de relaciones servidumbrales por sí solos</w:t>
      </w:r>
      <w:r w:rsidRPr="00CE0B87">
        <w:rPr>
          <w:rFonts w:ascii="Arial" w:eastAsia="Times New Roman" w:hAnsi="Arial" w:cs="Arial"/>
          <w:i/>
          <w:iCs/>
          <w:color w:val="000000"/>
          <w:sz w:val="24"/>
          <w:szCs w:val="24"/>
          <w:lang w:val="es-ES" w:eastAsia="es-BO"/>
        </w:rPr>
        <w:t xml:space="preserve">, por tanto, no existe la necesidad de que concurran todos a la vez. La presentación por parte del propietario o de su representante de los recibos, boletas de pago o planillas salariales, que demuestren concluyentemente el pago cierto y efectivo de todos los salarios, siempre y cuando no se incurra en ninguno de los criterios operativos descritos en el </w:t>
      </w:r>
      <w:r w:rsidRPr="00CE0B87">
        <w:rPr>
          <w:rFonts w:ascii="Arial" w:eastAsia="Times New Roman" w:hAnsi="Arial" w:cs="Arial"/>
          <w:i/>
          <w:iCs/>
          <w:color w:val="000000"/>
          <w:sz w:val="24"/>
          <w:szCs w:val="24"/>
          <w:lang w:val="es-ES" w:eastAsia="es-BO"/>
        </w:rPr>
        <w:lastRenderedPageBreak/>
        <w:t>inciso del Artículo 6 del presente Reglamento, acredita el cumplimiento del pago salarial. Para el caso previsto en la segunda parte del Parágrafo III del Artículo 3 del Decreto Supremo Nº 29802, la existencia de relaciones servidumbrales surtirá sus efectos con relación al propietario actual, cuando se verifique o compruebe su existencia o continuidad…”</w:t>
      </w:r>
    </w:p>
    <w:p w14:paraId="0070378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Por otro lado, la Convención sobre la Esclavitud de 1926, en su primer artículo, define la esclavitud como el "</w:t>
      </w:r>
      <w:r w:rsidRPr="00CE0B87">
        <w:rPr>
          <w:rFonts w:ascii="Arial" w:eastAsia="Times New Roman" w:hAnsi="Arial" w:cs="Arial"/>
          <w:i/>
          <w:iCs/>
          <w:color w:val="000000"/>
          <w:sz w:val="24"/>
          <w:szCs w:val="24"/>
          <w:lang w:val="es-ES" w:eastAsia="es-BO"/>
        </w:rPr>
        <w:t>estado o condición de un individuo sobre el cual se ejercitan los atributos del derecho de propiedad sobre algunos</w:t>
      </w:r>
      <w:r w:rsidRPr="00CE0B87">
        <w:rPr>
          <w:rFonts w:ascii="Arial" w:eastAsia="Times New Roman" w:hAnsi="Arial" w:cs="Arial"/>
          <w:color w:val="000000"/>
          <w:sz w:val="24"/>
          <w:szCs w:val="24"/>
          <w:lang w:val="es-ES" w:eastAsia="es-BO"/>
        </w:rPr>
        <w:t>"</w:t>
      </w:r>
      <w:r w:rsidRPr="00CE0B87">
        <w:rPr>
          <w:rFonts w:ascii="Arial" w:eastAsia="Times New Roman" w:hAnsi="Arial" w:cs="Arial"/>
          <w:color w:val="000000"/>
          <w:sz w:val="24"/>
          <w:szCs w:val="24"/>
          <w:lang w:eastAsia="es-BO"/>
        </w:rPr>
        <w:t>. Por consiguiente, los Estados Americanos, en 1969, acordaron que "</w:t>
      </w:r>
      <w:r w:rsidRPr="00CE0B87">
        <w:rPr>
          <w:rFonts w:ascii="Arial" w:eastAsia="Times New Roman" w:hAnsi="Arial" w:cs="Arial"/>
          <w:i/>
          <w:iCs/>
          <w:color w:val="000000"/>
          <w:sz w:val="24"/>
          <w:szCs w:val="24"/>
          <w:lang w:eastAsia="es-BO"/>
        </w:rPr>
        <w:t>nadie puede ser sometido a esclavitud o servidumbre, y tanto éstas como</w:t>
      </w:r>
      <w:r w:rsidRPr="00CE0B87">
        <w:rPr>
          <w:rFonts w:ascii="Arial" w:eastAsia="Times New Roman" w:hAnsi="Arial" w:cs="Arial"/>
          <w:color w:val="000000"/>
          <w:sz w:val="24"/>
          <w:szCs w:val="24"/>
          <w:lang w:eastAsia="es-BO"/>
        </w:rPr>
        <w:t> la trata de esclavos y la trata de mujeres están prohibidas en todas sus formas"; asimismo la Convención Suplementaria sobre Abolición de la Esclavitud,</w:t>
      </w:r>
      <w:r w:rsidRPr="00CE0B87">
        <w:rPr>
          <w:rFonts w:ascii="Arial" w:eastAsia="Times New Roman" w:hAnsi="Arial" w:cs="Arial"/>
          <w:i/>
          <w:iCs/>
          <w:color w:val="000000"/>
          <w:sz w:val="24"/>
          <w:szCs w:val="24"/>
          <w:lang w:eastAsia="es-BO"/>
        </w:rPr>
        <w:t> </w:t>
      </w:r>
      <w:r w:rsidRPr="00CE0B87">
        <w:rPr>
          <w:rFonts w:ascii="Arial" w:eastAsia="Times New Roman" w:hAnsi="Arial" w:cs="Arial"/>
          <w:color w:val="000000"/>
          <w:sz w:val="24"/>
          <w:szCs w:val="24"/>
          <w:lang w:eastAsia="es-BO"/>
        </w:rPr>
        <w:t>definió a la servidumbre, en el artículo 1 (a) y (b), como: </w:t>
      </w:r>
      <w:r w:rsidRPr="00CE0B87">
        <w:rPr>
          <w:rFonts w:ascii="Arial" w:eastAsia="Times New Roman" w:hAnsi="Arial" w:cs="Arial"/>
          <w:i/>
          <w:iCs/>
          <w:color w:val="000000"/>
          <w:sz w:val="24"/>
          <w:szCs w:val="24"/>
          <w:lang w:eastAsia="es-BO"/>
        </w:rPr>
        <w:t>“a. La servidumbre por deudas, o sea, el estado o la condición que resulta del hecho de que un deudor se haya comprometido a prestar sus servicios personales, [...] como garantía de una deuda, si los servicios prestados, equitativamente valorados, no se aplican al pago de la deuda, o si no se limita su duración ni se define la naturaleza de dichos servicios; b. La servidumbre de la gleba, o sea, la condición de la persona que está obligada por la ley, por la costumbre o por un acuerdo a vivir y a trabajar sobre una tierra que pertenece a otra persona y a prestar a ésta, mediante remuneración o gratuitamente, determinados servicios, sin libertad para cambiar su condición</w:t>
      </w:r>
      <w:r w:rsidRPr="00CE0B87">
        <w:rPr>
          <w:rFonts w:ascii="Arial" w:eastAsia="Times New Roman" w:hAnsi="Arial" w:cs="Arial"/>
          <w:color w:val="000000"/>
          <w:sz w:val="24"/>
          <w:szCs w:val="24"/>
          <w:lang w:eastAsia="es-BO"/>
        </w:rPr>
        <w:t>”.</w:t>
      </w:r>
    </w:p>
    <w:p w14:paraId="6C0EFA73"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Por su parte, el </w:t>
      </w:r>
      <w:r w:rsidRPr="00CE0B87">
        <w:rPr>
          <w:rFonts w:ascii="Arial" w:eastAsia="Times New Roman" w:hAnsi="Arial" w:cs="Arial"/>
          <w:i/>
          <w:iCs/>
          <w:color w:val="000000"/>
          <w:sz w:val="24"/>
          <w:szCs w:val="24"/>
          <w:lang w:eastAsia="es-BO"/>
        </w:rPr>
        <w:t>Convenio N° 29 sobre el Trabajo Forzoso de la Organización Internacional del Trabajo </w:t>
      </w:r>
      <w:r w:rsidRPr="00CE0B87">
        <w:rPr>
          <w:rFonts w:ascii="Arial" w:eastAsia="Times New Roman" w:hAnsi="Arial" w:cs="Arial"/>
          <w:color w:val="000000"/>
          <w:sz w:val="24"/>
          <w:szCs w:val="24"/>
          <w:lang w:eastAsia="es-BO"/>
        </w:rPr>
        <w:t>(OIT), prohíbe todas las formas de trabajo forzoso u obligatorio, que en 2014, la Conferencia International del Trabajo adoptó el Protocolo relativo a dicho Convenio, en el cual se prevé expresamente la supresión de las disposiciones transitorias, en dicho instrumento internacional, en su art. 2.1), se define al trabajo forzoso como, </w:t>
      </w:r>
      <w:r w:rsidRPr="00CE0B87">
        <w:rPr>
          <w:rFonts w:ascii="Arial" w:eastAsia="Times New Roman" w:hAnsi="Arial" w:cs="Arial"/>
          <w:i/>
          <w:iCs/>
          <w:color w:val="000000"/>
          <w:sz w:val="24"/>
          <w:szCs w:val="24"/>
          <w:lang w:eastAsia="es-BO"/>
        </w:rPr>
        <w:t>“todo trabajo o servicio exigido a un individuo bajo la amenaza de una pena cualquiera y para el cual dicho individuo no se ofrece voluntariamente”.</w:t>
      </w:r>
    </w:p>
    <w:p w14:paraId="15AB07C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Bajo lo anteriormente expuesto, </w:t>
      </w:r>
      <w:r w:rsidRPr="00CE0B87">
        <w:rPr>
          <w:rFonts w:ascii="Arial" w:eastAsia="Times New Roman" w:hAnsi="Arial" w:cs="Arial"/>
          <w:color w:val="000000"/>
          <w:sz w:val="24"/>
          <w:szCs w:val="24"/>
          <w:lang w:val="es-ES" w:eastAsia="es-BO"/>
        </w:rPr>
        <w:t xml:space="preserve">es obligación del Estado de Bolivia garantizar y proteger el ejercicio de los derechos humanos, aplicando las disposiciones de la normativa en vigencia, así como los Tratados Internacionales ratificados, con el objetivo de erradicar las relaciones servidumbrales; teniéndose como antecedentes y base legal, las recomendaciones de los Organismos Internacionales como la ONU y la OIT para la intervención del Estado, y el cumplimiento de los Convenios internacionales N° 29, N° 105 y N° 169, de erradicación del trabajo forzoso y de derechos de los pueblos indígena originario campesino; así como lo establecido en </w:t>
      </w:r>
      <w:r w:rsidRPr="00CE0B87">
        <w:rPr>
          <w:rFonts w:ascii="Arial" w:eastAsia="Times New Roman" w:hAnsi="Arial" w:cs="Arial"/>
          <w:color w:val="000000"/>
          <w:sz w:val="24"/>
          <w:szCs w:val="24"/>
          <w:lang w:val="es-ES" w:eastAsia="es-BO"/>
        </w:rPr>
        <w:lastRenderedPageBreak/>
        <w:t>los arts.15.V, 22 y 46.II de la Constitución Política del Estado (2009); además de regirse en el marco de la </w:t>
      </w:r>
      <w:r w:rsidRPr="00CE0B87">
        <w:rPr>
          <w:rFonts w:ascii="Arial" w:eastAsia="Times New Roman" w:hAnsi="Arial" w:cs="Arial"/>
          <w:i/>
          <w:iCs/>
          <w:color w:val="000000"/>
          <w:sz w:val="24"/>
          <w:szCs w:val="24"/>
          <w:lang w:val="es-ES" w:eastAsia="es-BO"/>
        </w:rPr>
        <w:t>Política Nacional, programas, planes y proyectos para la erradicación de la servidumbre, trabajo forzoso y formas análogas, </w:t>
      </w:r>
      <w:r w:rsidRPr="00CE0B87">
        <w:rPr>
          <w:rFonts w:ascii="Arial" w:eastAsia="Times New Roman" w:hAnsi="Arial" w:cs="Arial"/>
          <w:color w:val="000000"/>
          <w:sz w:val="24"/>
          <w:szCs w:val="24"/>
          <w:lang w:val="es-ES" w:eastAsia="es-BO"/>
        </w:rPr>
        <w:t>y que con base a la articulación del Estado en las zonas de interés, de manera coordinada con las instancias legislativa, ejecutiva y judicial en sus diferentes niveles (nacional, departamental y local), así como con las organizaciones sociales, instituciones de la sociedad civil y de cooperación que correspondan, tal como prevé el Decreto Supremo N° 29292 de 3 de octubre de 2007, que entre otros, también dispuso la creación del Consejo Interministerial de Erradicación de la Servidumbre, el Trabajo Forzoso y otras formas análogas, como instancia interministerial, para la prevención y atención oportuna de los casos que se pudieran presentar.</w:t>
      </w:r>
    </w:p>
    <w:p w14:paraId="5D559E2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Finalmente, se debe de tener presente que, los Derechos Fundamentales del Trabajo, conforme lo descrito </w:t>
      </w:r>
      <w:r w:rsidRPr="00CE0B87">
        <w:rPr>
          <w:rFonts w:ascii="Arial" w:eastAsia="Times New Roman" w:hAnsi="Arial" w:cs="Arial"/>
          <w:i/>
          <w:iCs/>
          <w:color w:val="000000"/>
          <w:sz w:val="24"/>
          <w:szCs w:val="24"/>
          <w:lang w:val="es-ES" w:eastAsia="es-BO"/>
        </w:rPr>
        <w:t>ut supra</w:t>
      </w:r>
      <w:r w:rsidRPr="00CE0B87">
        <w:rPr>
          <w:rFonts w:ascii="Arial" w:eastAsia="Times New Roman" w:hAnsi="Arial" w:cs="Arial"/>
          <w:color w:val="000000"/>
          <w:sz w:val="24"/>
          <w:szCs w:val="24"/>
          <w:lang w:val="es-ES" w:eastAsia="es-BO"/>
        </w:rPr>
        <w:t xml:space="preserve">, tienen sus sustentos en los Convenios Internacionales que han sido aprobados y ratificados por el Estado boliviano, como ser: 1. El Convenios 29 y 105 de la OIT, para la eliminación o erradicación del trabajo forzoso, servidumbre, </w:t>
      </w:r>
      <w:proofErr w:type="spellStart"/>
      <w:r w:rsidRPr="00CE0B87">
        <w:rPr>
          <w:rFonts w:ascii="Arial" w:eastAsia="Times New Roman" w:hAnsi="Arial" w:cs="Arial"/>
          <w:color w:val="000000"/>
          <w:sz w:val="24"/>
          <w:szCs w:val="24"/>
          <w:lang w:val="es-ES" w:eastAsia="es-BO"/>
        </w:rPr>
        <w:t>empatronamiento</w:t>
      </w:r>
      <w:proofErr w:type="spellEnd"/>
      <w:r w:rsidRPr="00CE0B87">
        <w:rPr>
          <w:rFonts w:ascii="Arial" w:eastAsia="Times New Roman" w:hAnsi="Arial" w:cs="Arial"/>
          <w:color w:val="000000"/>
          <w:sz w:val="24"/>
          <w:szCs w:val="24"/>
          <w:lang w:val="es-ES" w:eastAsia="es-BO"/>
        </w:rPr>
        <w:t xml:space="preserve"> y otras formas análogas; 2. Convenios 138 y 182 de la OIT, sobre la edad mínima para trabajar y sobre las peores formas de trabajo infantil; 3. Convenio 100 y III de la OIT sobre la igualdad de remuneración y sobre la discriminación en el empleo y ocupación; y, 4. El Convenio 87 y 98 de la OIT, sobre la libertad sindical y la protección del derecho de sindicalización y el Derecho de Sindicalización y de Negociación Colectiva.</w:t>
      </w:r>
    </w:p>
    <w:p w14:paraId="38A02D1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FJ.II.5. La fundamentación, motivación y congruencia de las resoluciones.</w:t>
      </w:r>
    </w:p>
    <w:p w14:paraId="73EF4BD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Al respecto, la Sentencia Constitucional Plurinacional N° 0213/2021-S1 de 28 de junio, señala “…</w:t>
      </w:r>
      <w:r w:rsidRPr="00CE0B87">
        <w:rPr>
          <w:rFonts w:ascii="Arial" w:eastAsia="Times New Roman" w:hAnsi="Arial" w:cs="Arial"/>
          <w:i/>
          <w:iCs/>
          <w:color w:val="000000"/>
          <w:sz w:val="24"/>
          <w:szCs w:val="24"/>
          <w:lang w:val="es-ES" w:eastAsia="es-BO"/>
        </w:rPr>
        <w:t xml:space="preserve">la fundamentación se refiere a labor argumentativa desarrollada por la autoridad competente en el conocimiento y resolución de un caso concreto, en el cual está impelido de citar todas las disposiciones legales sobre las cuales justifica su decisión; pero además, y, en casos específicos, en los cuales resulte necesario una interpretación normativa, tiene la obligación efectuar dicha labor, aplicando las pautas y métodos de la hermenéutica constitucional, en cuya labor, los principios y valores constitucionales aplicados, se constituyan en una justificación razonable de la premisa normativa; por su parte, la motivación, está relacionada a la justificación de la decisión a través de la argumentación lógico-jurídica, en la cual se desarrollan los motivos y razones que precisan y determinan los hechos facticos y los medios probatorios que fueron aportados por las partes, mismos que deben mantener una coherencia e interdependencia con la premisa normativa descrita por la misma autoridad a momento de efectuar la fundamentación; asimismo, en cuanto a la justificación, conviene precisar que esta se define como un procedimiento </w:t>
      </w:r>
      <w:r w:rsidRPr="00CE0B87">
        <w:rPr>
          <w:rFonts w:ascii="Arial" w:eastAsia="Times New Roman" w:hAnsi="Arial" w:cs="Arial"/>
          <w:i/>
          <w:iCs/>
          <w:color w:val="000000"/>
          <w:sz w:val="24"/>
          <w:szCs w:val="24"/>
          <w:lang w:val="es-ES" w:eastAsia="es-BO"/>
        </w:rPr>
        <w:lastRenderedPageBreak/>
        <w:t>argumentativo a través del cual se brindan las razones de la conclusión arribada por el juzgador. En ese entender, el debido proceso en el ejercicio de la labor sancionatoria del Estado, se encuentra reconocido por la Norma Suprema, como un derecho fundamental, una garantía constitucional, y un derecho humano, a través de los arts.115.II y 117.I de la CPE, art. 8 de la Convención Americana de Derechos Humanos (CADH), y art. 14 del Pacto Internacional de Derechos Civiles y Políticos (PIDCP), lo cual conlleva a que, respecto la fundamentación y motivación, como elementos del referido debido proceso, las autoridades competentes deben ajustar su labor argumentativa a los principios y valores constitucionales y al bloque de constitucionalidad, cuyo resultado entre otros sea la obtención de decisiones justas y razonables, logrando al mismo tiempo el convencimiento en los justiciables; pero además, dejar de lado la arbitrariedad en las resoluciones”.</w:t>
      </w:r>
    </w:p>
    <w:p w14:paraId="3E3D213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la misma línea, la SCP 0114/2018-S3, de 10 de abril de 2018, cita la SCP 0212/2014-S3 de 4 de diciembre, que concluyó: “Al respecto la SC 0752/2002-R de 25 de junio, precisó que: “…</w:t>
      </w:r>
      <w:r w:rsidRPr="00CE0B87">
        <w:rPr>
          <w:rFonts w:ascii="Arial" w:eastAsia="Times New Roman" w:hAnsi="Arial" w:cs="Arial"/>
          <w:i/>
          <w:iCs/>
          <w:color w:val="000000"/>
          <w:sz w:val="24"/>
          <w:szCs w:val="24"/>
          <w:lang w:val="es-ES" w:eastAsia="es-BO"/>
        </w:rPr>
        <w:t xml:space="preserve">el derecho al debido proceso, entre su ámbito de presupuestos exige que toda resolución sea debidamente fundamentada. Es decir, que cada autoridad que dicte una resolución debe imprescindiblemente exponer los hechos, realizar la fundamentación legal y citar las normas que sustenta la parte dispositiva de la misma. Que, consecuentemente cuando un juez omite la motivación de una Resolución, no sólo suprime una parte estructural de la misma, sino también en los hechos toma una decisión de hecho no de derecho que vulnera de manera flagrante el citado derecho que permite a las partes conocer cuáles son las razones para que se declare en tal o cual sentido; o lo que es lo mismo cuál es la ratio </w:t>
      </w:r>
      <w:proofErr w:type="spellStart"/>
      <w:r w:rsidRPr="00CE0B87">
        <w:rPr>
          <w:rFonts w:ascii="Arial" w:eastAsia="Times New Roman" w:hAnsi="Arial" w:cs="Arial"/>
          <w:i/>
          <w:iCs/>
          <w:color w:val="000000"/>
          <w:sz w:val="24"/>
          <w:szCs w:val="24"/>
          <w:lang w:val="es-ES" w:eastAsia="es-BO"/>
        </w:rPr>
        <w:t>decidendi</w:t>
      </w:r>
      <w:proofErr w:type="spellEnd"/>
      <w:r w:rsidRPr="00CE0B87">
        <w:rPr>
          <w:rFonts w:ascii="Arial" w:eastAsia="Times New Roman" w:hAnsi="Arial" w:cs="Arial"/>
          <w:i/>
          <w:iCs/>
          <w:color w:val="000000"/>
          <w:sz w:val="24"/>
          <w:szCs w:val="24"/>
          <w:lang w:val="es-ES" w:eastAsia="es-BO"/>
        </w:rPr>
        <w:t xml:space="preserve"> que llevó al Juez a tomar la decisión</w:t>
      </w:r>
      <w:r w:rsidRPr="00CE0B87">
        <w:rPr>
          <w:rFonts w:ascii="Arial" w:eastAsia="Times New Roman" w:hAnsi="Arial" w:cs="Arial"/>
          <w:color w:val="000000"/>
          <w:sz w:val="24"/>
          <w:szCs w:val="24"/>
          <w:lang w:val="es-ES" w:eastAsia="es-BO"/>
        </w:rPr>
        <w:t>”.</w:t>
      </w:r>
    </w:p>
    <w:p w14:paraId="4A30181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otra parte, con relación a la congruencia la Sentencia Constitucional Plurinacional N° 0027/2019-S3 de 1 de marzo, estableció al respecto: “…</w:t>
      </w:r>
      <w:r w:rsidRPr="00CE0B87">
        <w:rPr>
          <w:rFonts w:ascii="Arial" w:eastAsia="Times New Roman" w:hAnsi="Arial" w:cs="Arial"/>
          <w:i/>
          <w:iCs/>
          <w:color w:val="000000"/>
          <w:sz w:val="24"/>
          <w:szCs w:val="24"/>
          <w:lang w:val="es-ES" w:eastAsia="es-BO"/>
        </w:rPr>
        <w:t xml:space="preserve">la SCP 0055/2014 de 3 de enero, sostuvo: “La congruencia de las resoluciones judiciales integra los componentes del debido proceso. En ese contexto, a partir de una concepción doctrinal, su análisis se orienta desde dos acepciones: externa, entendida como principio rector de toda resolución judicial, que exige la plena correspondencia o coincidencia entre el planteamiento de las partes (demanda, respuesta e impugnación y respuesta) y lo resuelto por las autoridades judiciales, sin que el juzgador tome en cuenta aspectos ajenos a la controversia; interna, porque entendida la resolución como una unidad congruente, en ella se debe cuidar un hilo conductor que le dote de orden y racionalidad, desde la parte considerativa de los hechos, la identificación de los agravios, la valoración de los mismos y los efectos de la parte dispositiva; es decir, se pretenden evitar que, en una misma </w:t>
      </w:r>
      <w:r w:rsidRPr="00CE0B87">
        <w:rPr>
          <w:rFonts w:ascii="Arial" w:eastAsia="Times New Roman" w:hAnsi="Arial" w:cs="Arial"/>
          <w:i/>
          <w:iCs/>
          <w:color w:val="000000"/>
          <w:sz w:val="24"/>
          <w:szCs w:val="24"/>
          <w:lang w:val="es-ES" w:eastAsia="es-BO"/>
        </w:rPr>
        <w:lastRenderedPageBreak/>
        <w:t>resolución no existan consideraciones contradictorias entre sí o con el punto de la misma decisión.</w:t>
      </w:r>
    </w:p>
    <w:p w14:paraId="321A0846"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i/>
          <w:iCs/>
          <w:color w:val="000000"/>
          <w:sz w:val="24"/>
          <w:szCs w:val="24"/>
          <w:lang w:val="es-ES" w:eastAsia="es-BO"/>
        </w:rPr>
        <w:t>En ese sentido, la uniforme jurisprudencia constitucional, a través de la SC 1494/2011-R de 11 de octubre, señaló: ”…la congruencia como principio característico del debido proceso, entendida en el ámbito procesal como la estricta correspondencia que debe existir entre lo peticionado y lo resuelto; ahora bien, esa definición 7 general, no es limitativa de la coherencia que debe tener toda resolución, ya sea judicial o administrativa, y que implica también la concordancia entre la parte considerativa y dispositiva: sino que además, debe mantenerse en todo su contenido, efectuando un razonamiento integral y armonizado entre los distintos considerandos y razonamientos contenidos en la resolución. La concordancia de contenido de la resolución y su estricta correspondencia entre lo pedido, lo considerado y lo resuelto, (…). En base a esas consideraciones, es que quien administra justicia, emitirá fallos motivados, congruentes y pertinentes.</w:t>
      </w:r>
    </w:p>
    <w:p w14:paraId="2BBC22F3"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Así mismo</w:t>
      </w:r>
      <w:r w:rsidRPr="00CE0B87">
        <w:rPr>
          <w:rFonts w:ascii="Arial" w:eastAsia="Times New Roman" w:hAnsi="Arial" w:cs="Arial"/>
          <w:i/>
          <w:iCs/>
          <w:color w:val="000000"/>
          <w:sz w:val="24"/>
          <w:szCs w:val="24"/>
          <w:lang w:val="es-ES" w:eastAsia="es-BO"/>
        </w:rPr>
        <w:t> </w:t>
      </w:r>
      <w:r w:rsidRPr="00CE0B87">
        <w:rPr>
          <w:rFonts w:ascii="Arial" w:eastAsia="Times New Roman" w:hAnsi="Arial" w:cs="Arial"/>
          <w:color w:val="000000"/>
          <w:sz w:val="24"/>
          <w:szCs w:val="24"/>
          <w:lang w:val="es-ES" w:eastAsia="es-BO"/>
        </w:rPr>
        <w:t>, con relación al principio de congruencia la SCP 1302/2015-S2 de 13 de noviembre, estableció que: “</w:t>
      </w:r>
      <w:r w:rsidRPr="00CE0B87">
        <w:rPr>
          <w:rFonts w:ascii="Arial" w:eastAsia="Times New Roman" w:hAnsi="Arial" w:cs="Arial"/>
          <w:i/>
          <w:iCs/>
          <w:color w:val="000000"/>
          <w:sz w:val="24"/>
          <w:szCs w:val="24"/>
          <w:lang w:val="es-ES" w:eastAsia="es-BO"/>
        </w:rPr>
        <w:t>Como se dijo anteriormente, la congruencia de las resoluciones judiciales y administrativas, constituye otro elemento integrador del debido proceso, al respecto la SC 0358/2010-R de 22 de junio, señaló lo siguiente: “...la congruencia como principio característico del debido proceso, entendida en el ámbito procesal como la estricta correspondencia que debe existir entre lo peticionado y lo resuelto, en materia penal la congruencia se refiere estrictamente a que el imputado no podrá ser condenado por un hecho distinto al atribuido en la acusación o su ampliación; ahora bien, esa definición general, no es limitativa de la congruencia que debe tener toda resolución ya sea judicial o administrativa y que implica también la concordancia entre la parte considerativa y dispositiva, pero además esa concordancia debe mantenerse en todo su contenido, efectuando un razonamiento integral y armonizado entre los distintos considerandos y razonamientos emitidos por la resolución, esta concordancia de contenido de la resolución y su estricta correspondencia entre lo pedido, lo considerado y lo resuelto, conlleva a su vez la cita de las disposiciones legales que apoyan ese razonamiento que llevó a la determinación que se asume. En base a esos criterios se considera que quien administra justicia debe emitir fallos motivados, congruentes y pertinentes’</w:t>
      </w:r>
      <w:r w:rsidRPr="00CE0B87">
        <w:rPr>
          <w:rFonts w:ascii="Arial" w:eastAsia="Times New Roman" w:hAnsi="Arial" w:cs="Arial"/>
          <w:color w:val="000000"/>
          <w:sz w:val="24"/>
          <w:szCs w:val="24"/>
          <w:lang w:val="es-ES" w:eastAsia="es-BO"/>
        </w:rPr>
        <w:t>.</w:t>
      </w:r>
    </w:p>
    <w:p w14:paraId="6B957C9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el mismo sentido, el Tribunal Constitucional Plurinacional, a través de la SCP 1083/2014 de 10 de junio, sostuvo que la congruencia: ‘…</w:t>
      </w:r>
      <w:r w:rsidRPr="00CE0B87">
        <w:rPr>
          <w:rFonts w:ascii="Arial" w:eastAsia="Times New Roman" w:hAnsi="Arial" w:cs="Arial"/>
          <w:i/>
          <w:iCs/>
          <w:color w:val="000000"/>
          <w:sz w:val="24"/>
          <w:szCs w:val="24"/>
          <w:lang w:val="es-ES" w:eastAsia="es-BO"/>
        </w:rPr>
        <w:t xml:space="preserve">amerita una comprensión desde dos acepciones; primero, relativo a la congruencia externa, la cual se debe entender como el principio rector de toda determinación judicial, que exige la plena </w:t>
      </w:r>
      <w:r w:rsidRPr="00CE0B87">
        <w:rPr>
          <w:rFonts w:ascii="Arial" w:eastAsia="Times New Roman" w:hAnsi="Arial" w:cs="Arial"/>
          <w:i/>
          <w:iCs/>
          <w:color w:val="000000"/>
          <w:sz w:val="24"/>
          <w:szCs w:val="24"/>
          <w:lang w:val="es-ES" w:eastAsia="es-BO"/>
        </w:rPr>
        <w:lastRenderedPageBreak/>
        <w:t>correspondencia o coincidencia entre el planteamiento de las partes (demanda, respuesta e impugnación y resolución) y lo resuelto por las autoridades judiciales, en definitiva, es una prohibición para el juzgador considerar aspectos ajenos a la controversia, limitando su consideración a cuestionamientos únicamente deducidos por las partes; y, segundo, la congruencia interna, referido a que, si la resolución es comprendida como una unidad congruente, en ella se debe cuidar un hilo conductor que le dote de orden y racionalidad, desde la parte considerativa de los hechos, la identificación de los agravios, la valoración de los mismos, la interpretación de las normas y los efectos de la parte dispositiva; es decir, se pretenden evitar que, en una misma resolución no existan consideraciones contradictorias entre sí o con el punto de la misma decisión</w:t>
      </w:r>
      <w:r w:rsidRPr="00CE0B87">
        <w:rPr>
          <w:rFonts w:ascii="Arial" w:eastAsia="Times New Roman" w:hAnsi="Arial" w:cs="Arial"/>
          <w:color w:val="000000"/>
          <w:sz w:val="24"/>
          <w:szCs w:val="24"/>
          <w:lang w:val="es-ES" w:eastAsia="es-BO"/>
        </w:rPr>
        <w:t>”.</w:t>
      </w:r>
    </w:p>
    <w:p w14:paraId="60DAD06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El derecho a la fundamentación y motivación de las resoluciones es un elemento del debido proceso. Constituye la garantía del sujeto procesal de que el juzgador a momento de emitir una decisión, explicará de manera clara y sustentada en derecho, los motivos que lo llevaron a tomar una decisión; argumentación que deberá seguir un orden coherente respecto a los hechos demandados y exponer con puntualidad los elementos jurídico legales que determinaron su posición.</w:t>
      </w:r>
    </w:p>
    <w:p w14:paraId="4578F36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FJ.III. Análisis del caso concreto</w:t>
      </w:r>
    </w:p>
    <w:p w14:paraId="4C1D976B" w14:textId="4B15FAF7" w:rsidR="00820DA6" w:rsidRPr="00CE0B87" w:rsidRDefault="00820DA6" w:rsidP="00CE0B87">
      <w:pPr>
        <w:spacing w:after="0" w:line="360" w:lineRule="auto"/>
        <w:jc w:val="both"/>
        <w:rPr>
          <w:rFonts w:ascii="Arial" w:eastAsia="Times New Roman" w:hAnsi="Arial" w:cs="Arial"/>
          <w:color w:val="000000"/>
          <w:sz w:val="24"/>
          <w:szCs w:val="24"/>
          <w:lang w:val="es-ES" w:eastAsia="es-BO"/>
        </w:rPr>
      </w:pPr>
      <w:r w:rsidRPr="00CE0B87">
        <w:rPr>
          <w:rFonts w:ascii="Arial" w:eastAsia="Times New Roman" w:hAnsi="Arial" w:cs="Arial"/>
          <w:color w:val="000000"/>
          <w:sz w:val="24"/>
          <w:szCs w:val="24"/>
          <w:lang w:val="es-ES" w:eastAsia="es-BO"/>
        </w:rPr>
        <w:t>A objeto de abordar el análisis y resolución del caso concreto, este Tribunal efectuará el estudio de los siguientes problemas jurídicos: </w:t>
      </w:r>
      <w:r w:rsidRPr="00CE0B87">
        <w:rPr>
          <w:rFonts w:ascii="Arial" w:eastAsia="Times New Roman" w:hAnsi="Arial" w:cs="Arial"/>
          <w:b/>
          <w:bCs/>
          <w:color w:val="000000"/>
          <w:sz w:val="24"/>
          <w:szCs w:val="24"/>
          <w:lang w:val="es-ES" w:eastAsia="es-BO"/>
        </w:rPr>
        <w:t>1)</w:t>
      </w:r>
      <w:r w:rsidRPr="00CE0B87">
        <w:rPr>
          <w:rFonts w:ascii="Arial" w:eastAsia="Times New Roman" w:hAnsi="Arial" w:cs="Arial"/>
          <w:color w:val="000000"/>
          <w:sz w:val="24"/>
          <w:szCs w:val="24"/>
          <w:lang w:val="es-ES" w:eastAsia="es-BO"/>
        </w:rPr>
        <w:t> Identificación de Relaciones Servidumbrales; </w:t>
      </w:r>
      <w:r w:rsidRPr="00CE0B87">
        <w:rPr>
          <w:rFonts w:ascii="Arial" w:eastAsia="Times New Roman" w:hAnsi="Arial" w:cs="Arial"/>
          <w:b/>
          <w:bCs/>
          <w:color w:val="000000"/>
          <w:sz w:val="24"/>
          <w:szCs w:val="24"/>
          <w:lang w:val="es-ES" w:eastAsia="es-BO"/>
        </w:rPr>
        <w:t>2)</w:t>
      </w:r>
      <w:r w:rsidRPr="00CE0B87">
        <w:rPr>
          <w:rFonts w:ascii="Arial" w:eastAsia="Times New Roman" w:hAnsi="Arial" w:cs="Arial"/>
          <w:color w:val="000000"/>
          <w:sz w:val="24"/>
          <w:szCs w:val="24"/>
          <w:lang w:val="es-ES" w:eastAsia="es-BO"/>
        </w:rPr>
        <w:t> Identificación de Fraccionamiento Fraudulento; </w:t>
      </w:r>
      <w:r w:rsidRPr="00CE0B87">
        <w:rPr>
          <w:rFonts w:ascii="Arial" w:eastAsia="Times New Roman" w:hAnsi="Arial" w:cs="Arial"/>
          <w:b/>
          <w:bCs/>
          <w:color w:val="000000"/>
          <w:sz w:val="24"/>
          <w:szCs w:val="24"/>
          <w:lang w:val="es-ES" w:eastAsia="es-BO"/>
        </w:rPr>
        <w:t>3) </w:t>
      </w:r>
      <w:r w:rsidRPr="00CE0B87">
        <w:rPr>
          <w:rFonts w:ascii="Arial" w:eastAsia="Times New Roman" w:hAnsi="Arial" w:cs="Arial"/>
          <w:color w:val="000000"/>
          <w:sz w:val="24"/>
          <w:szCs w:val="24"/>
          <w:lang w:val="es-ES" w:eastAsia="es-BO"/>
        </w:rPr>
        <w:t>Mala valoración de los antecedentes agrarios en el relevamiento de gabinete; </w:t>
      </w:r>
      <w:r w:rsidRPr="00CE0B87">
        <w:rPr>
          <w:rFonts w:ascii="Arial" w:eastAsia="Times New Roman" w:hAnsi="Arial" w:cs="Arial"/>
          <w:b/>
          <w:bCs/>
          <w:color w:val="000000"/>
          <w:sz w:val="24"/>
          <w:szCs w:val="24"/>
          <w:lang w:val="es-ES" w:eastAsia="es-BO"/>
        </w:rPr>
        <w:t>4)</w:t>
      </w:r>
      <w:r w:rsidRPr="00CE0B87">
        <w:rPr>
          <w:rFonts w:ascii="Arial" w:eastAsia="Times New Roman" w:hAnsi="Arial" w:cs="Arial"/>
          <w:color w:val="000000"/>
          <w:sz w:val="24"/>
          <w:szCs w:val="24"/>
          <w:lang w:val="es-ES" w:eastAsia="es-BO"/>
        </w:rPr>
        <w:t> Incumplimiento de las características de propiedad mediana y empresarial agropecuaria; y, </w:t>
      </w:r>
      <w:r w:rsidRPr="00CE0B87">
        <w:rPr>
          <w:rFonts w:ascii="Arial" w:eastAsia="Times New Roman" w:hAnsi="Arial" w:cs="Arial"/>
          <w:b/>
          <w:bCs/>
          <w:color w:val="000000"/>
          <w:sz w:val="24"/>
          <w:szCs w:val="24"/>
          <w:lang w:val="es-ES" w:eastAsia="es-BO"/>
        </w:rPr>
        <w:t>5)</w:t>
      </w:r>
      <w:r w:rsidRPr="00CE0B87">
        <w:rPr>
          <w:rFonts w:ascii="Arial" w:eastAsia="Times New Roman" w:hAnsi="Arial" w:cs="Arial"/>
          <w:color w:val="000000"/>
          <w:sz w:val="24"/>
          <w:szCs w:val="24"/>
          <w:lang w:val="es-ES" w:eastAsia="es-BO"/>
        </w:rPr>
        <w:t> Ausencia de fundamentación, motivación y congruencia de la Resolución Final de Saneamiento ahora impugnada</w:t>
      </w:r>
      <w:r w:rsidR="00815E54" w:rsidRPr="00CE0B87">
        <w:rPr>
          <w:rFonts w:ascii="Arial" w:eastAsia="Times New Roman" w:hAnsi="Arial" w:cs="Arial"/>
          <w:color w:val="000000"/>
          <w:sz w:val="24"/>
          <w:szCs w:val="24"/>
          <w:lang w:val="es-ES" w:eastAsia="es-BO"/>
        </w:rPr>
        <w:t>.</w:t>
      </w:r>
    </w:p>
    <w:p w14:paraId="2646D324" w14:textId="0B130570" w:rsidR="00820DA6" w:rsidRPr="00CE0B87" w:rsidRDefault="00815E54" w:rsidP="00CE0B87">
      <w:pPr>
        <w:spacing w:after="0" w:line="360" w:lineRule="auto"/>
        <w:jc w:val="both"/>
        <w:rPr>
          <w:rFonts w:ascii="Arial" w:eastAsia="Times New Roman" w:hAnsi="Arial" w:cs="Arial"/>
          <w:color w:val="212529"/>
          <w:sz w:val="24"/>
          <w:szCs w:val="24"/>
          <w:lang w:eastAsia="es-BO"/>
        </w:rPr>
      </w:pPr>
      <w:r w:rsidRPr="00CE0B87">
        <w:rPr>
          <w:rFonts w:ascii="Arial" w:hAnsi="Arial" w:cs="Arial"/>
          <w:color w:val="212529"/>
          <w:sz w:val="24"/>
          <w:szCs w:val="24"/>
          <w:lang w:val="es-ES"/>
        </w:rPr>
        <w:t xml:space="preserve">En este sentido, previamente a resolver los puntos demandados, tomando en cuenta lo resuelto en la acción de Amparo Constitucional contra la </w:t>
      </w:r>
      <w:r w:rsidRPr="00CE0B87">
        <w:rPr>
          <w:rFonts w:ascii="Arial" w:hAnsi="Arial" w:cs="Arial"/>
          <w:bCs/>
          <w:sz w:val="24"/>
          <w:szCs w:val="24"/>
          <w:lang w:val="es-ES"/>
        </w:rPr>
        <w:t>Sentencia Agroambiental Plurinacional S2</w:t>
      </w:r>
      <w:r w:rsidRPr="00CE0B87">
        <w:rPr>
          <w:rFonts w:ascii="Arial" w:hAnsi="Arial" w:cs="Arial"/>
          <w:bCs/>
          <w:sz w:val="24"/>
          <w:szCs w:val="24"/>
          <w:vertAlign w:val="superscript"/>
          <w:lang w:val="es-ES"/>
        </w:rPr>
        <w:t>a</w:t>
      </w:r>
      <w:r w:rsidRPr="00CE0B87">
        <w:rPr>
          <w:rFonts w:ascii="Arial" w:hAnsi="Arial" w:cs="Arial"/>
          <w:bCs/>
          <w:sz w:val="24"/>
          <w:szCs w:val="24"/>
          <w:lang w:val="es-ES"/>
        </w:rPr>
        <w:t xml:space="preserve"> N° 028/2023 de 13 de junio, mediante Resolución A.A.C. 199-2023, emitida </w:t>
      </w:r>
      <w:r w:rsidRPr="00CE0B87">
        <w:rPr>
          <w:rFonts w:ascii="Arial" w:hAnsi="Arial" w:cs="Arial"/>
          <w:sz w:val="24"/>
          <w:szCs w:val="24"/>
          <w:lang w:val="es-ES"/>
        </w:rPr>
        <w:t xml:space="preserve">por </w:t>
      </w:r>
      <w:r w:rsidRPr="00CE0B87">
        <w:rPr>
          <w:rFonts w:ascii="Arial" w:hAnsi="Arial" w:cs="Arial"/>
          <w:bCs/>
          <w:sz w:val="24"/>
          <w:szCs w:val="24"/>
          <w:lang w:val="es-ES"/>
        </w:rPr>
        <w:t xml:space="preserve">la Sala Constitucional Cuarta </w:t>
      </w:r>
      <w:r w:rsidRPr="00CE0B87">
        <w:rPr>
          <w:rFonts w:ascii="Arial" w:hAnsi="Arial" w:cs="Arial"/>
          <w:sz w:val="24"/>
          <w:szCs w:val="24"/>
          <w:lang w:val="es-ES"/>
        </w:rPr>
        <w:t>del Tribunal Departamental de Justicia de Santa Cruz</w:t>
      </w:r>
      <w:r w:rsidR="00AD18D2" w:rsidRPr="00CE0B87">
        <w:rPr>
          <w:rFonts w:ascii="Arial" w:hAnsi="Arial" w:cs="Arial"/>
          <w:sz w:val="24"/>
          <w:szCs w:val="24"/>
          <w:lang w:val="es-ES"/>
        </w:rPr>
        <w:t xml:space="preserve"> a</w:t>
      </w:r>
      <w:r w:rsidR="00AD18D2" w:rsidRPr="00CE0B87">
        <w:rPr>
          <w:rFonts w:ascii="Arial" w:hAnsi="Arial" w:cs="Arial"/>
          <w:b/>
          <w:bCs/>
          <w:sz w:val="24"/>
          <w:szCs w:val="24"/>
          <w:lang w:val="es-ES"/>
        </w:rPr>
        <w:t>)</w:t>
      </w:r>
      <w:r w:rsidR="00AD18D2" w:rsidRPr="00CE0B87">
        <w:rPr>
          <w:rFonts w:ascii="Arial" w:hAnsi="Arial" w:cs="Arial"/>
          <w:sz w:val="24"/>
          <w:szCs w:val="24"/>
          <w:lang w:val="es-ES"/>
        </w:rPr>
        <w:t xml:space="preserve"> Que, en un proceso contencioso administrativo en la Sentencia Agroambiental Plurinacional  se estaría identificando relaciones </w:t>
      </w:r>
      <w:proofErr w:type="spellStart"/>
      <w:r w:rsidR="00AD18D2" w:rsidRPr="00CE0B87">
        <w:rPr>
          <w:rFonts w:ascii="Arial" w:hAnsi="Arial" w:cs="Arial"/>
          <w:sz w:val="24"/>
          <w:szCs w:val="24"/>
          <w:lang w:val="es-ES"/>
        </w:rPr>
        <w:t>servidumbrales</w:t>
      </w:r>
      <w:proofErr w:type="spellEnd"/>
      <w:r w:rsidR="00AD18D2" w:rsidRPr="00CE0B87">
        <w:rPr>
          <w:rFonts w:ascii="Arial" w:hAnsi="Arial" w:cs="Arial"/>
          <w:sz w:val="24"/>
          <w:szCs w:val="24"/>
          <w:lang w:val="es-ES"/>
        </w:rPr>
        <w:t>, sin seguir un procedimiento establecido por ley</w:t>
      </w:r>
      <w:r w:rsidR="00AE7892" w:rsidRPr="00CE0B87">
        <w:rPr>
          <w:rFonts w:ascii="Arial" w:hAnsi="Arial" w:cs="Arial"/>
          <w:sz w:val="24"/>
          <w:szCs w:val="24"/>
          <w:lang w:val="es-ES"/>
        </w:rPr>
        <w:t xml:space="preserve">; </w:t>
      </w:r>
      <w:r w:rsidR="00AE7892" w:rsidRPr="00CE0B87">
        <w:rPr>
          <w:rFonts w:ascii="Arial" w:hAnsi="Arial" w:cs="Arial"/>
          <w:b/>
          <w:bCs/>
          <w:sz w:val="24"/>
          <w:szCs w:val="24"/>
          <w:lang w:val="es-ES"/>
        </w:rPr>
        <w:t xml:space="preserve">b) </w:t>
      </w:r>
      <w:r w:rsidR="00AE7892" w:rsidRPr="00CE0B87">
        <w:rPr>
          <w:rFonts w:ascii="Arial" w:hAnsi="Arial" w:cs="Arial"/>
          <w:bCs/>
          <w:sz w:val="24"/>
          <w:szCs w:val="24"/>
          <w:lang w:val="es-ES"/>
        </w:rPr>
        <w:t xml:space="preserve">De igual manera, respecto a la causal de nulidad por una supuesta identificación del fraccionamiento fraudulento, corresponde precisar que de la documentación adjunta, las mismas, no han sido valoradas íntegramente y tampoco dada la naturaleza de la demanda contenciosa administrativa, se dio una amplia defensa a los accionantes; </w:t>
      </w:r>
      <w:r w:rsidR="00AE7892" w:rsidRPr="00CE0B87">
        <w:rPr>
          <w:rFonts w:ascii="Arial" w:hAnsi="Arial" w:cs="Arial"/>
          <w:b/>
          <w:bCs/>
          <w:sz w:val="24"/>
          <w:szCs w:val="24"/>
          <w:lang w:val="es-ES"/>
        </w:rPr>
        <w:t xml:space="preserve">c) </w:t>
      </w:r>
      <w:r w:rsidR="00AE7892" w:rsidRPr="00CE0B87">
        <w:rPr>
          <w:rFonts w:ascii="Arial" w:hAnsi="Arial" w:cs="Arial"/>
          <w:bCs/>
          <w:sz w:val="24"/>
          <w:szCs w:val="24"/>
          <w:lang w:val="es-ES"/>
        </w:rPr>
        <w:t xml:space="preserve">No se establece tampoco por parte de las autoridades </w:t>
      </w:r>
      <w:r w:rsidR="00AE7892" w:rsidRPr="00CE0B87">
        <w:rPr>
          <w:rFonts w:ascii="Arial" w:hAnsi="Arial" w:cs="Arial"/>
          <w:bCs/>
          <w:sz w:val="24"/>
          <w:szCs w:val="24"/>
          <w:lang w:val="es-ES"/>
        </w:rPr>
        <w:lastRenderedPageBreak/>
        <w:t xml:space="preserve">accionadas, de manera clara, cuál sería la norma que sanciona la nulidad, ante la posible existencia de un incumplimiento de las características de la propiedad mediana y empresa agrícola </w:t>
      </w:r>
      <w:r w:rsidRPr="00CE0B87">
        <w:rPr>
          <w:rFonts w:ascii="Arial" w:hAnsi="Arial" w:cs="Arial"/>
          <w:sz w:val="24"/>
          <w:szCs w:val="24"/>
          <w:lang w:val="es-ES"/>
        </w:rPr>
        <w:t xml:space="preserve"> y conforme lo desarrollado en el </w:t>
      </w:r>
      <w:r w:rsidRPr="00CE0B87">
        <w:rPr>
          <w:rFonts w:ascii="Arial" w:eastAsia="Times New Roman" w:hAnsi="Arial" w:cs="Arial"/>
          <w:b/>
          <w:bCs/>
          <w:color w:val="000000"/>
          <w:sz w:val="24"/>
          <w:szCs w:val="24"/>
          <w:lang w:val="es-ES" w:eastAsia="es-BO"/>
        </w:rPr>
        <w:t>FJ.II.2</w:t>
      </w:r>
      <w:r w:rsidRPr="00CE0B87">
        <w:rPr>
          <w:rFonts w:ascii="Arial" w:eastAsia="Times New Roman" w:hAnsi="Arial" w:cs="Arial"/>
          <w:color w:val="000000"/>
          <w:sz w:val="24"/>
          <w:szCs w:val="24"/>
          <w:lang w:val="es-ES" w:eastAsia="es-BO"/>
        </w:rPr>
        <w:t> de la presente resolución</w:t>
      </w:r>
      <w:r w:rsidRPr="00CE0B87">
        <w:rPr>
          <w:rFonts w:ascii="Arial" w:hAnsi="Arial" w:cs="Arial"/>
          <w:sz w:val="24"/>
          <w:szCs w:val="24"/>
          <w:lang w:val="es-ES"/>
        </w:rPr>
        <w:t>,</w:t>
      </w:r>
      <w:r w:rsidRPr="00CE0B87">
        <w:rPr>
          <w:rFonts w:ascii="Arial" w:hAnsi="Arial" w:cs="Arial"/>
          <w:color w:val="212529"/>
          <w:sz w:val="24"/>
          <w:szCs w:val="24"/>
        </w:rPr>
        <w:t xml:space="preserve"> donde se establece que el proceso contencioso administrativo es un procedimiento de control jurisdiccional que tiene como finalidad verificar la legalidad de los actos que realiza el Estado</w:t>
      </w:r>
      <w:r w:rsidR="00820DA6" w:rsidRPr="00CE0B87">
        <w:rPr>
          <w:rFonts w:ascii="Arial" w:eastAsia="Times New Roman" w:hAnsi="Arial" w:cs="Arial"/>
          <w:color w:val="000000"/>
          <w:sz w:val="24"/>
          <w:szCs w:val="24"/>
          <w:lang w:val="es-ES" w:eastAsia="es-BO"/>
        </w:rPr>
        <w:t>:</w:t>
      </w:r>
    </w:p>
    <w:p w14:paraId="061EDBC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FJ.III.1.- Identificación de Relaciones Servidumbrales.</w:t>
      </w:r>
    </w:p>
    <w:p w14:paraId="68E32B80"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Conforme lo desarrollado en el </w:t>
      </w:r>
      <w:r w:rsidRPr="00CE0B87">
        <w:rPr>
          <w:rFonts w:ascii="Arial" w:eastAsia="Times New Roman" w:hAnsi="Arial" w:cs="Arial"/>
          <w:b/>
          <w:bCs/>
          <w:color w:val="000000"/>
          <w:sz w:val="24"/>
          <w:szCs w:val="24"/>
          <w:lang w:val="es-ES" w:eastAsia="es-BO"/>
        </w:rPr>
        <w:t>FJ.II.4.</w:t>
      </w:r>
      <w:r w:rsidRPr="00CE0B87">
        <w:rPr>
          <w:rFonts w:ascii="Arial" w:eastAsia="Times New Roman" w:hAnsi="Arial" w:cs="Arial"/>
          <w:color w:val="000000"/>
          <w:sz w:val="24"/>
          <w:szCs w:val="24"/>
          <w:lang w:val="es-ES" w:eastAsia="es-BO"/>
        </w:rPr>
        <w:t>, de la presente Sentencia, la CPE, en su art. 15.V, concordante con los arts. 22 y 46, refiere que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i/>
          <w:iCs/>
          <w:color w:val="000000"/>
          <w:sz w:val="24"/>
          <w:szCs w:val="24"/>
          <w:lang w:val="es-ES" w:eastAsia="es-BO"/>
        </w:rPr>
        <w:t>Ninguna persona podrá ser sometida a servidumbre ni esclavitud. Se prohíbe la trata y tráfico de personas”</w:t>
      </w:r>
      <w:r w:rsidRPr="00CE0B87">
        <w:rPr>
          <w:rFonts w:ascii="Arial" w:eastAsia="Times New Roman" w:hAnsi="Arial" w:cs="Arial"/>
          <w:color w:val="000000"/>
          <w:sz w:val="24"/>
          <w:szCs w:val="24"/>
          <w:lang w:val="es-ES" w:eastAsia="es-BO"/>
        </w:rPr>
        <w:t xml:space="preserve">; de otra parte, el art. 3.m), concordante con el art. 157 del D.S. N° 29215, sostiene </w:t>
      </w:r>
      <w:r w:rsidRPr="00E24E65">
        <w:rPr>
          <w:rFonts w:ascii="Arial" w:eastAsia="Times New Roman" w:hAnsi="Arial" w:cs="Arial"/>
          <w:color w:val="000000"/>
          <w:sz w:val="24"/>
          <w:szCs w:val="24"/>
          <w:lang w:val="es-ES" w:eastAsia="es-BO"/>
        </w:rPr>
        <w:t>que:</w:t>
      </w:r>
      <w:r w:rsidRPr="00CE0B87">
        <w:rPr>
          <w:rFonts w:ascii="Arial" w:eastAsia="Times New Roman" w:hAnsi="Arial" w:cs="Arial"/>
          <w:color w:val="000000"/>
          <w:sz w:val="24"/>
          <w:szCs w:val="24"/>
          <w:lang w:val="es-ES" w:eastAsia="es-BO"/>
        </w:rPr>
        <w:t xml:space="preserve"> “…</w:t>
      </w:r>
      <w:r w:rsidRPr="00CE0B87">
        <w:rPr>
          <w:rFonts w:ascii="Arial" w:eastAsia="Times New Roman" w:hAnsi="Arial" w:cs="Arial"/>
          <w:i/>
          <w:iCs/>
          <w:color w:val="000000"/>
          <w:sz w:val="24"/>
          <w:szCs w:val="24"/>
          <w:lang w:val="es-ES" w:eastAsia="es-BO"/>
        </w:rPr>
        <w:t>El no reconocimiento de ningún derecho y la pérdida del mismo, además de la obligatoria denuncia ante autoridades competentes, cuando se establezca la existencia de relaciones servidumbrales como efecto de cualquier actividad dentro de un predio agrario</w:t>
      </w:r>
      <w:r w:rsidRPr="00CE0B87">
        <w:rPr>
          <w:rFonts w:ascii="Arial" w:eastAsia="Times New Roman" w:hAnsi="Arial" w:cs="Arial"/>
          <w:color w:val="000000"/>
          <w:sz w:val="24"/>
          <w:szCs w:val="24"/>
          <w:lang w:val="es-ES" w:eastAsia="es-BO"/>
        </w:rPr>
        <w:t>…”.</w:t>
      </w:r>
    </w:p>
    <w:p w14:paraId="6E08BA25" w14:textId="41AFC3E1"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Asimismo, el Reglamento</w:t>
      </w:r>
      <w:r w:rsidRPr="00CE0B87">
        <w:rPr>
          <w:rFonts w:ascii="Arial" w:eastAsia="Times New Roman" w:hAnsi="Arial" w:cs="Arial"/>
          <w:color w:val="000000"/>
          <w:sz w:val="24"/>
          <w:szCs w:val="24"/>
          <w:lang w:eastAsia="es-BO"/>
        </w:rPr>
        <w:t> para la Verificación, Comprobación y Determinación de la Existencia de Relaciones Servidumbrales, Trabajo Forzoso y Formas Análogas, aprobado por D.S. Nº 388, 23 de diciembre de 2009,  en su art.</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val="es-ES" w:eastAsia="es-BO"/>
        </w:rPr>
        <w:t>1, prevé que: </w:t>
      </w:r>
      <w:r w:rsidRPr="00CE0B87">
        <w:rPr>
          <w:rFonts w:ascii="Arial" w:eastAsia="Times New Roman" w:hAnsi="Arial" w:cs="Arial"/>
          <w:i/>
          <w:iCs/>
          <w:color w:val="000000"/>
          <w:sz w:val="24"/>
          <w:szCs w:val="24"/>
          <w:lang w:val="es-ES" w:eastAsia="es-BO"/>
        </w:rPr>
        <w:t xml:space="preserve">“El presente Reglamento tiene por objeto definir los criterios, la metodología y procedimientos a ser aplicados por parte del Instituto Nacional de Reforma Agraria - INRA, para la verificación, comprobación y determinación de la existencia de sistemas </w:t>
      </w:r>
      <w:proofErr w:type="spellStart"/>
      <w:r w:rsidRPr="00CE0B87">
        <w:rPr>
          <w:rFonts w:ascii="Arial" w:eastAsia="Times New Roman" w:hAnsi="Arial" w:cs="Arial"/>
          <w:i/>
          <w:iCs/>
          <w:color w:val="000000"/>
          <w:sz w:val="24"/>
          <w:szCs w:val="24"/>
          <w:lang w:val="es-ES" w:eastAsia="es-BO"/>
        </w:rPr>
        <w:t>servidumbrales</w:t>
      </w:r>
      <w:proofErr w:type="spellEnd"/>
      <w:r w:rsidRPr="00CE0B87">
        <w:rPr>
          <w:rFonts w:ascii="Arial" w:eastAsia="Times New Roman" w:hAnsi="Arial" w:cs="Arial"/>
          <w:i/>
          <w:iCs/>
          <w:color w:val="000000"/>
          <w:sz w:val="24"/>
          <w:szCs w:val="24"/>
          <w:lang w:val="es-ES" w:eastAsia="es-BO"/>
        </w:rPr>
        <w:t xml:space="preserve">, trabajo forzoso, </w:t>
      </w:r>
      <w:proofErr w:type="spellStart"/>
      <w:r w:rsidRPr="00CE0B87">
        <w:rPr>
          <w:rFonts w:ascii="Arial" w:eastAsia="Times New Roman" w:hAnsi="Arial" w:cs="Arial"/>
          <w:i/>
          <w:iCs/>
          <w:color w:val="000000"/>
          <w:sz w:val="24"/>
          <w:szCs w:val="24"/>
          <w:lang w:val="es-ES" w:eastAsia="es-BO"/>
        </w:rPr>
        <w:t>peonazgo</w:t>
      </w:r>
      <w:proofErr w:type="spellEnd"/>
      <w:r w:rsidRPr="00CE0B87">
        <w:rPr>
          <w:rFonts w:ascii="Arial" w:eastAsia="Times New Roman" w:hAnsi="Arial" w:cs="Arial"/>
          <w:i/>
          <w:iCs/>
          <w:color w:val="000000"/>
          <w:sz w:val="24"/>
          <w:szCs w:val="24"/>
          <w:lang w:val="es-ES" w:eastAsia="es-BO"/>
        </w:rPr>
        <w:t xml:space="preserve"> por deudas y/o esclavitud de familias o personas cautivas o formas análogas, en predios agrarios…”, </w:t>
      </w:r>
      <w:r w:rsidRPr="00CE0B87">
        <w:rPr>
          <w:rFonts w:ascii="Arial" w:eastAsia="Times New Roman" w:hAnsi="Arial" w:cs="Arial"/>
          <w:color w:val="000000"/>
          <w:sz w:val="24"/>
          <w:szCs w:val="24"/>
          <w:lang w:val="es-ES" w:eastAsia="es-BO"/>
        </w:rPr>
        <w:t xml:space="preserve">refiriendo </w:t>
      </w:r>
      <w:r w:rsidR="002B10E8">
        <w:rPr>
          <w:rFonts w:ascii="Arial" w:eastAsia="Times New Roman" w:hAnsi="Arial" w:cs="Arial"/>
          <w:color w:val="000000"/>
          <w:sz w:val="24"/>
          <w:szCs w:val="24"/>
          <w:lang w:val="es-ES" w:eastAsia="es-BO"/>
        </w:rPr>
        <w:t>en</w:t>
      </w:r>
      <w:r w:rsidRPr="00CE0B87">
        <w:rPr>
          <w:rFonts w:ascii="Arial" w:eastAsia="Times New Roman" w:hAnsi="Arial" w:cs="Arial"/>
          <w:color w:val="000000"/>
          <w:sz w:val="24"/>
          <w:szCs w:val="24"/>
          <w:lang w:val="es-ES" w:eastAsia="es-BO"/>
        </w:rPr>
        <w:t xml:space="preserve"> el art. 5.</w:t>
      </w:r>
      <w:r w:rsidR="00F51834">
        <w:rPr>
          <w:rFonts w:ascii="Arial" w:eastAsia="Times New Roman" w:hAnsi="Arial" w:cs="Arial"/>
          <w:color w:val="000000"/>
          <w:sz w:val="24"/>
          <w:szCs w:val="24"/>
          <w:lang w:val="es-ES" w:eastAsia="es-BO"/>
        </w:rPr>
        <w:t>b.2</w:t>
      </w:r>
      <w:r w:rsidRPr="00CE0B87">
        <w:rPr>
          <w:rFonts w:ascii="Arial" w:eastAsia="Times New Roman" w:hAnsi="Arial" w:cs="Arial"/>
          <w:color w:val="000000"/>
          <w:sz w:val="24"/>
          <w:szCs w:val="24"/>
          <w:lang w:val="es-ES" w:eastAsia="es-BO"/>
        </w:rPr>
        <w:t xml:space="preserve"> del precitado Reglamento, que uno de los criterios que hace a la relación servidumbral es el “</w:t>
      </w:r>
      <w:r w:rsidRPr="00CE0B87">
        <w:rPr>
          <w:rFonts w:ascii="Arial" w:eastAsia="Times New Roman" w:hAnsi="Arial" w:cs="Arial"/>
          <w:i/>
          <w:iCs/>
          <w:color w:val="000000"/>
          <w:sz w:val="24"/>
          <w:szCs w:val="24"/>
          <w:lang w:val="es-ES" w:eastAsia="es-BO"/>
        </w:rPr>
        <w:t>Pago en efectivo menor al mínimo nacional</w:t>
      </w:r>
      <w:r w:rsidRPr="00CE0B87">
        <w:rPr>
          <w:rFonts w:ascii="Arial" w:eastAsia="Times New Roman" w:hAnsi="Arial" w:cs="Arial"/>
          <w:color w:val="000000"/>
          <w:sz w:val="24"/>
          <w:szCs w:val="24"/>
          <w:lang w:val="es-ES" w:eastAsia="es-BO"/>
        </w:rPr>
        <w:t>”.</w:t>
      </w:r>
    </w:p>
    <w:p w14:paraId="5FDA05D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En ese contexto, de la revisión de los antecedentes del proceso de saneamiento se evidencia lo siguiente:</w:t>
      </w:r>
    </w:p>
    <w:p w14:paraId="4A1DFDD0" w14:textId="5BCFF42A"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Predio “Ayacucho</w:t>
      </w:r>
      <w:r w:rsidRPr="00CE0B87">
        <w:rPr>
          <w:rFonts w:ascii="Arial" w:eastAsia="Times New Roman" w:hAnsi="Arial" w:cs="Arial"/>
          <w:color w:val="000000"/>
          <w:sz w:val="24"/>
          <w:szCs w:val="24"/>
          <w:lang w:val="es-ES" w:eastAsia="es-BO"/>
        </w:rPr>
        <w:t>”. – Que, de la revisión del Acta de Apersonamiento y Recepción de Documentos de 27 de julio de 2015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I.5.1.9.</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color w:val="000000"/>
          <w:sz w:val="24"/>
          <w:szCs w:val="24"/>
          <w:lang w:val="es-ES" w:eastAsia="es-BO"/>
        </w:rPr>
        <w:t xml:space="preserve">, se evidencia la documentación presentada en etapa de campo por Carlos Savilla Romero, representante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Diana </w:t>
      </w:r>
      <w:proofErr w:type="spellStart"/>
      <w:r w:rsidRPr="00CE0B87">
        <w:rPr>
          <w:rFonts w:ascii="Arial" w:eastAsia="Times New Roman" w:hAnsi="Arial" w:cs="Arial"/>
          <w:color w:val="000000"/>
          <w:sz w:val="24"/>
          <w:szCs w:val="24"/>
          <w:lang w:val="es-ES" w:eastAsia="es-BO"/>
        </w:rPr>
        <w:t>Maeshiro</w:t>
      </w:r>
      <w:proofErr w:type="spellEnd"/>
      <w:r w:rsidR="00113D51" w:rsidRPr="00CE0B87">
        <w:rPr>
          <w:rFonts w:ascii="Arial" w:eastAsia="Times New Roman" w:hAnsi="Arial" w:cs="Arial"/>
          <w:color w:val="000000"/>
          <w:sz w:val="24"/>
          <w:szCs w:val="24"/>
          <w:lang w:val="es-ES" w:eastAsia="es-BO"/>
        </w:rPr>
        <w:t xml:space="preserve"> </w:t>
      </w:r>
      <w:r w:rsidRPr="00CE0B87">
        <w:rPr>
          <w:rFonts w:ascii="Arial" w:eastAsia="Times New Roman" w:hAnsi="Arial" w:cs="Arial"/>
          <w:color w:val="000000"/>
          <w:sz w:val="24"/>
          <w:szCs w:val="24"/>
          <w:lang w:val="es-ES" w:eastAsia="es-BO"/>
        </w:rPr>
        <w:t xml:space="preserve"> </w:t>
      </w:r>
      <w:proofErr w:type="spellStart"/>
      <w:r w:rsidR="00113D51" w:rsidRPr="00CE0B87">
        <w:rPr>
          <w:rFonts w:ascii="Arial" w:eastAsia="Times New Roman" w:hAnsi="Arial" w:cs="Arial"/>
          <w:color w:val="000000"/>
          <w:sz w:val="24"/>
          <w:szCs w:val="24"/>
          <w:lang w:val="es-ES" w:eastAsia="es-BO"/>
        </w:rPr>
        <w:t>Kochi</w:t>
      </w:r>
      <w:proofErr w:type="spellEnd"/>
      <w:r w:rsidR="00113D51" w:rsidRPr="00CE0B87">
        <w:rPr>
          <w:rFonts w:ascii="Arial" w:eastAsia="Times New Roman" w:hAnsi="Arial" w:cs="Arial"/>
          <w:color w:val="000000"/>
          <w:sz w:val="24"/>
          <w:szCs w:val="24"/>
          <w:lang w:val="es-ES" w:eastAsia="es-BO"/>
        </w:rPr>
        <w:t xml:space="preserve"> </w:t>
      </w:r>
      <w:r w:rsidRPr="00CE0B87">
        <w:rPr>
          <w:rFonts w:ascii="Arial" w:eastAsia="Times New Roman" w:hAnsi="Arial" w:cs="Arial"/>
          <w:color w:val="000000"/>
          <w:sz w:val="24"/>
          <w:szCs w:val="24"/>
          <w:lang w:val="es-ES" w:eastAsia="es-BO"/>
        </w:rPr>
        <w:t xml:space="preserve">y </w:t>
      </w:r>
      <w:proofErr w:type="spellStart"/>
      <w:r w:rsidRPr="00CE0B87">
        <w:rPr>
          <w:rFonts w:ascii="Arial" w:eastAsia="Times New Roman" w:hAnsi="Arial" w:cs="Arial"/>
          <w:color w:val="000000"/>
          <w:sz w:val="24"/>
          <w:szCs w:val="24"/>
          <w:lang w:val="es-ES" w:eastAsia="es-BO"/>
        </w:rPr>
        <w:t>Noriko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Kuniyoshi</w:t>
      </w:r>
      <w:proofErr w:type="spellEnd"/>
      <w:r w:rsidRPr="00CE0B87">
        <w:rPr>
          <w:rFonts w:ascii="Arial" w:eastAsia="Times New Roman" w:hAnsi="Arial" w:cs="Arial"/>
          <w:color w:val="000000"/>
          <w:sz w:val="24"/>
          <w:szCs w:val="24"/>
          <w:lang w:val="es-ES" w:eastAsia="es-BO"/>
        </w:rPr>
        <w:t xml:space="preserve">, como son Recibos y Contratos individuales de trabajadores, suscritos entre los señalados beneficiarios, con Edgar Ortiz </w:t>
      </w:r>
      <w:proofErr w:type="spellStart"/>
      <w:r w:rsidRPr="00CE0B87">
        <w:rPr>
          <w:rFonts w:ascii="Arial" w:eastAsia="Times New Roman" w:hAnsi="Arial" w:cs="Arial"/>
          <w:color w:val="000000"/>
          <w:sz w:val="24"/>
          <w:szCs w:val="24"/>
          <w:lang w:val="es-ES" w:eastAsia="es-BO"/>
        </w:rPr>
        <w:t>Yriarte</w:t>
      </w:r>
      <w:proofErr w:type="spellEnd"/>
      <w:r w:rsidR="009C0B12" w:rsidRPr="00CE0B87">
        <w:rPr>
          <w:rFonts w:ascii="Arial" w:eastAsia="Times New Roman" w:hAnsi="Arial" w:cs="Arial"/>
          <w:color w:val="000000"/>
          <w:sz w:val="24"/>
          <w:szCs w:val="24"/>
          <w:lang w:val="es-ES" w:eastAsia="es-BO"/>
        </w:rPr>
        <w:t xml:space="preserve"> con monto de 1.560.-;</w:t>
      </w:r>
      <w:r w:rsidRPr="00CE0B87">
        <w:rPr>
          <w:rFonts w:ascii="Arial" w:eastAsia="Times New Roman" w:hAnsi="Arial" w:cs="Arial"/>
          <w:color w:val="000000"/>
          <w:sz w:val="24"/>
          <w:szCs w:val="24"/>
          <w:lang w:val="es-ES" w:eastAsia="es-BO"/>
        </w:rPr>
        <w:t xml:space="preserve">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w:t>
      </w:r>
      <w:r w:rsidR="009C0B12" w:rsidRPr="00CE0B87">
        <w:rPr>
          <w:rFonts w:ascii="Arial" w:eastAsia="Times New Roman" w:hAnsi="Arial" w:cs="Arial"/>
          <w:color w:val="000000"/>
          <w:sz w:val="24"/>
          <w:szCs w:val="24"/>
          <w:lang w:val="es-ES" w:eastAsia="es-BO"/>
        </w:rPr>
        <w:t xml:space="preserve"> con monto de 1.126, 67.-;</w:t>
      </w:r>
      <w:r w:rsidRPr="00CE0B87">
        <w:rPr>
          <w:rFonts w:ascii="Arial" w:eastAsia="Times New Roman" w:hAnsi="Arial" w:cs="Arial"/>
          <w:color w:val="000000"/>
          <w:sz w:val="24"/>
          <w:szCs w:val="24"/>
          <w:lang w:val="es-ES" w:eastAsia="es-BO"/>
        </w:rPr>
        <w:t xml:space="preserve"> Benedicto Orellana </w:t>
      </w:r>
      <w:proofErr w:type="spellStart"/>
      <w:r w:rsidRPr="00CE0B87">
        <w:rPr>
          <w:rFonts w:ascii="Arial" w:eastAsia="Times New Roman" w:hAnsi="Arial" w:cs="Arial"/>
          <w:color w:val="000000"/>
          <w:sz w:val="24"/>
          <w:szCs w:val="24"/>
          <w:lang w:val="es-ES" w:eastAsia="es-BO"/>
        </w:rPr>
        <w:t>Colque</w:t>
      </w:r>
      <w:proofErr w:type="spellEnd"/>
      <w:r w:rsidR="009C0B12" w:rsidRPr="00CE0B87">
        <w:rPr>
          <w:rFonts w:ascii="Arial" w:eastAsia="Times New Roman" w:hAnsi="Arial" w:cs="Arial"/>
          <w:color w:val="000000"/>
          <w:sz w:val="24"/>
          <w:szCs w:val="24"/>
          <w:lang w:val="es-ES" w:eastAsia="es-BO"/>
        </w:rPr>
        <w:t xml:space="preserve"> con monto de 1.126,67.-</w:t>
      </w:r>
      <w:r w:rsidRPr="00CE0B87">
        <w:rPr>
          <w:rFonts w:ascii="Arial" w:eastAsia="Times New Roman" w:hAnsi="Arial" w:cs="Arial"/>
          <w:color w:val="000000"/>
          <w:sz w:val="24"/>
          <w:szCs w:val="24"/>
          <w:lang w:val="es-ES" w:eastAsia="es-BO"/>
        </w:rPr>
        <w:t xml:space="preserve"> e Hilarión Moreno </w:t>
      </w:r>
      <w:proofErr w:type="spellStart"/>
      <w:r w:rsidRPr="00CE0B87">
        <w:rPr>
          <w:rFonts w:ascii="Arial" w:eastAsia="Times New Roman" w:hAnsi="Arial" w:cs="Arial"/>
          <w:color w:val="000000"/>
          <w:sz w:val="24"/>
          <w:szCs w:val="24"/>
          <w:lang w:val="es-ES" w:eastAsia="es-BO"/>
        </w:rPr>
        <w:t>Irapi</w:t>
      </w:r>
      <w:proofErr w:type="spellEnd"/>
      <w:r w:rsidR="009C0B12" w:rsidRPr="00CE0B87">
        <w:rPr>
          <w:rFonts w:ascii="Arial" w:eastAsia="Times New Roman" w:hAnsi="Arial" w:cs="Arial"/>
          <w:color w:val="000000"/>
          <w:sz w:val="24"/>
          <w:szCs w:val="24"/>
          <w:lang w:val="es-ES" w:eastAsia="es-BO"/>
        </w:rPr>
        <w:t xml:space="preserve"> con monto de 1.560.-</w:t>
      </w:r>
      <w:r w:rsidRPr="00CE0B87">
        <w:rPr>
          <w:rFonts w:ascii="Arial" w:eastAsia="Times New Roman" w:hAnsi="Arial" w:cs="Arial"/>
          <w:color w:val="000000"/>
          <w:sz w:val="24"/>
          <w:szCs w:val="24"/>
          <w:lang w:val="es-ES" w:eastAsia="es-BO"/>
        </w:rPr>
        <w:t>, documentos suscritos el 02 de agosto de 2010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I.5.1.11.)</w:t>
      </w:r>
      <w:r w:rsidRPr="00CE0B87">
        <w:rPr>
          <w:rFonts w:ascii="Arial" w:eastAsia="Times New Roman" w:hAnsi="Arial" w:cs="Arial"/>
          <w:color w:val="000000"/>
          <w:sz w:val="24"/>
          <w:szCs w:val="24"/>
          <w:lang w:val="es-ES" w:eastAsia="es-BO"/>
        </w:rPr>
        <w:t>; de otra parte, se adjunta “Planilla de Sueldos y Salarios de Personal Permanente”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I.5.1.12.)</w:t>
      </w:r>
      <w:r w:rsidRPr="00CE0B87">
        <w:rPr>
          <w:rFonts w:ascii="Arial" w:eastAsia="Times New Roman" w:hAnsi="Arial" w:cs="Arial"/>
          <w:color w:val="000000"/>
          <w:sz w:val="24"/>
          <w:szCs w:val="24"/>
          <w:lang w:val="es-ES" w:eastAsia="es-BO"/>
        </w:rPr>
        <w:t xml:space="preserve">, correspondiente al mes de </w:t>
      </w:r>
      <w:r w:rsidRPr="00CE0B87">
        <w:rPr>
          <w:rFonts w:ascii="Arial" w:eastAsia="Times New Roman" w:hAnsi="Arial" w:cs="Arial"/>
          <w:color w:val="000000"/>
          <w:sz w:val="24"/>
          <w:szCs w:val="24"/>
          <w:lang w:val="es-ES" w:eastAsia="es-BO"/>
        </w:rPr>
        <w:lastRenderedPageBreak/>
        <w:t xml:space="preserve">septiembre de 2013, agosto de 2014 y abril de 2015, suscrito por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de igual manera, adjunta  boletas de pago de los meses de abril de 2015, agosto de 2014 y septiembre de 2013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I.5.1.14.),</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 xml:space="preserve">con relación a Hilarión Moreno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xml:space="preserve">, en la suma de Bs. 1.003,84.-, Benedicto Orellana </w:t>
      </w:r>
      <w:proofErr w:type="spellStart"/>
      <w:r w:rsidRPr="00CE0B87">
        <w:rPr>
          <w:rFonts w:ascii="Arial" w:eastAsia="Times New Roman" w:hAnsi="Arial" w:cs="Arial"/>
          <w:color w:val="000000"/>
          <w:sz w:val="24"/>
          <w:szCs w:val="24"/>
          <w:lang w:val="es-ES" w:eastAsia="es-BO"/>
        </w:rPr>
        <w:t>Colque</w:t>
      </w:r>
      <w:proofErr w:type="spellEnd"/>
      <w:r w:rsidRPr="00CE0B87">
        <w:rPr>
          <w:rFonts w:ascii="Arial" w:eastAsia="Times New Roman" w:hAnsi="Arial" w:cs="Arial"/>
          <w:color w:val="000000"/>
          <w:sz w:val="24"/>
          <w:szCs w:val="24"/>
          <w:lang w:val="es-ES" w:eastAsia="es-BO"/>
        </w:rPr>
        <w:t xml:space="preserve">, en la suma de Bs. 1.265,71.-,  Edgar Ortiz </w:t>
      </w:r>
      <w:proofErr w:type="spellStart"/>
      <w:r w:rsidRPr="00CE0B87">
        <w:rPr>
          <w:rFonts w:ascii="Arial" w:eastAsia="Times New Roman" w:hAnsi="Arial" w:cs="Arial"/>
          <w:color w:val="000000"/>
          <w:sz w:val="24"/>
          <w:szCs w:val="24"/>
          <w:lang w:val="es-ES" w:eastAsia="es-BO"/>
        </w:rPr>
        <w:t>Yriarte</w:t>
      </w:r>
      <w:proofErr w:type="spellEnd"/>
      <w:r w:rsidRPr="00CE0B87">
        <w:rPr>
          <w:rFonts w:ascii="Arial" w:eastAsia="Times New Roman" w:hAnsi="Arial" w:cs="Arial"/>
          <w:color w:val="000000"/>
          <w:sz w:val="24"/>
          <w:szCs w:val="24"/>
          <w:lang w:val="es-ES" w:eastAsia="es-BO"/>
        </w:rPr>
        <w:t xml:space="preserve">, la suma de Bs. 1.702,16.- y Francisco </w:t>
      </w:r>
      <w:proofErr w:type="spellStart"/>
      <w:r w:rsidRPr="00CE0B87">
        <w:rPr>
          <w:rFonts w:ascii="Arial" w:eastAsia="Times New Roman" w:hAnsi="Arial" w:cs="Arial"/>
          <w:color w:val="000000"/>
          <w:sz w:val="24"/>
          <w:szCs w:val="24"/>
          <w:lang w:val="es-ES" w:eastAsia="es-BO"/>
        </w:rPr>
        <w:t>Soliz</w:t>
      </w:r>
      <w:proofErr w:type="spellEnd"/>
      <w:r w:rsidRPr="00CE0B87">
        <w:rPr>
          <w:rFonts w:ascii="Arial" w:eastAsia="Times New Roman" w:hAnsi="Arial" w:cs="Arial"/>
          <w:color w:val="000000"/>
          <w:sz w:val="24"/>
          <w:szCs w:val="24"/>
          <w:lang w:val="es-ES" w:eastAsia="es-BO"/>
        </w:rPr>
        <w:t xml:space="preserve"> Viana, la suma de Bs. 1.003,84.-, de manera coincidente, con las boletas de pago de abril, 2015, agosto 2014 y septiembre de 2013 (líquido pagable).</w:t>
      </w:r>
    </w:p>
    <w:p w14:paraId="1D12813C" w14:textId="6C00AC35" w:rsidR="00820DA6" w:rsidRPr="00CE0B87" w:rsidRDefault="00820DA6" w:rsidP="00CE0B87">
      <w:pPr>
        <w:spacing w:after="0" w:line="360" w:lineRule="auto"/>
        <w:jc w:val="both"/>
        <w:rPr>
          <w:rFonts w:ascii="Arial" w:eastAsia="Times New Roman" w:hAnsi="Arial" w:cs="Arial"/>
          <w:color w:val="000000"/>
          <w:sz w:val="24"/>
          <w:szCs w:val="24"/>
          <w:lang w:val="es-ES" w:eastAsia="es-BO"/>
        </w:rPr>
      </w:pPr>
      <w:r w:rsidRPr="00CE0B87">
        <w:rPr>
          <w:rFonts w:ascii="Arial" w:eastAsia="Times New Roman" w:hAnsi="Arial" w:cs="Arial"/>
          <w:b/>
          <w:bCs/>
          <w:color w:val="000000"/>
          <w:sz w:val="24"/>
          <w:szCs w:val="24"/>
          <w:lang w:val="es-ES" w:eastAsia="es-BO"/>
        </w:rPr>
        <w:t>Predio “Ayacucho I</w:t>
      </w:r>
      <w:r w:rsidRPr="00CE0B87">
        <w:rPr>
          <w:rFonts w:ascii="Arial" w:eastAsia="Times New Roman" w:hAnsi="Arial" w:cs="Arial"/>
          <w:color w:val="000000"/>
          <w:sz w:val="24"/>
          <w:szCs w:val="24"/>
          <w:lang w:val="es-ES" w:eastAsia="es-BO"/>
        </w:rPr>
        <w:t>”. - Que, a través de Acta de Apersonamiento y Recepción de Documentos de 27 de julio de 2015</w:t>
      </w:r>
      <w:r w:rsidRPr="00CE0B87">
        <w:rPr>
          <w:rFonts w:ascii="Arial" w:eastAsia="Times New Roman" w:hAnsi="Arial" w:cs="Arial"/>
          <w:b/>
          <w:bCs/>
          <w:color w:val="000000"/>
          <w:sz w:val="24"/>
          <w:szCs w:val="24"/>
          <w:lang w:eastAsia="es-BO"/>
        </w:rPr>
        <w:t> (I.5.1.15.)</w:t>
      </w:r>
      <w:r w:rsidRPr="00CE0B87">
        <w:rPr>
          <w:rFonts w:ascii="Arial" w:eastAsia="Times New Roman" w:hAnsi="Arial" w:cs="Arial"/>
          <w:color w:val="000000"/>
          <w:sz w:val="24"/>
          <w:szCs w:val="24"/>
          <w:lang w:val="es-ES" w:eastAsia="es-BO"/>
        </w:rPr>
        <w:t>, se evidencia la documentación presentada en etapa de campo por </w:t>
      </w:r>
      <w:r w:rsidRPr="00CE0B87">
        <w:rPr>
          <w:rFonts w:ascii="Arial" w:eastAsia="Times New Roman" w:hAnsi="Arial" w:cs="Arial"/>
          <w:color w:val="000000"/>
          <w:sz w:val="24"/>
          <w:szCs w:val="24"/>
          <w:lang w:eastAsia="es-BO"/>
        </w:rPr>
        <w:t xml:space="preserve">Renán </w:t>
      </w:r>
      <w:proofErr w:type="spellStart"/>
      <w:r w:rsidRPr="00CE0B87">
        <w:rPr>
          <w:rFonts w:ascii="Arial" w:eastAsia="Times New Roman" w:hAnsi="Arial" w:cs="Arial"/>
          <w:color w:val="000000"/>
          <w:sz w:val="24"/>
          <w:szCs w:val="24"/>
          <w:lang w:eastAsia="es-BO"/>
        </w:rPr>
        <w:t>Yllescas</w:t>
      </w:r>
      <w:proofErr w:type="spellEnd"/>
      <w:r w:rsidRPr="00CE0B87">
        <w:rPr>
          <w:rFonts w:ascii="Arial" w:eastAsia="Times New Roman" w:hAnsi="Arial" w:cs="Arial"/>
          <w:color w:val="000000"/>
          <w:sz w:val="24"/>
          <w:szCs w:val="24"/>
          <w:lang w:eastAsia="es-BO"/>
        </w:rPr>
        <w:t xml:space="preserve"> Gonzales</w:t>
      </w:r>
      <w:r w:rsidRPr="00CE0B87">
        <w:rPr>
          <w:rFonts w:ascii="Arial" w:eastAsia="Times New Roman" w:hAnsi="Arial" w:cs="Arial"/>
          <w:color w:val="000000"/>
          <w:sz w:val="24"/>
          <w:szCs w:val="24"/>
          <w:lang w:val="es-ES" w:eastAsia="es-BO"/>
        </w:rPr>
        <w:t>, representante de Joaquín Eguez París, como es el Contrato Individual de Trabajadores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I.5.1.17.)</w:t>
      </w:r>
      <w:r w:rsidRPr="00CE0B87">
        <w:rPr>
          <w:rFonts w:ascii="Arial" w:eastAsia="Times New Roman" w:hAnsi="Arial" w:cs="Arial"/>
          <w:color w:val="000000"/>
          <w:sz w:val="24"/>
          <w:szCs w:val="24"/>
          <w:lang w:val="es-ES" w:eastAsia="es-BO"/>
        </w:rPr>
        <w:t>, suscritos entre el referido beneficiario, con Mauricio Casia Gonzales, por el monto de Bs. 1.</w:t>
      </w:r>
      <w:r w:rsidR="00D01B3D" w:rsidRPr="00CE0B87">
        <w:rPr>
          <w:rFonts w:ascii="Arial" w:eastAsia="Times New Roman" w:hAnsi="Arial" w:cs="Arial"/>
          <w:color w:val="000000"/>
          <w:sz w:val="24"/>
          <w:szCs w:val="24"/>
          <w:lang w:val="es-ES" w:eastAsia="es-BO"/>
        </w:rPr>
        <w:t>560</w:t>
      </w:r>
      <w:r w:rsidRPr="00CE0B87">
        <w:rPr>
          <w:rFonts w:ascii="Arial" w:eastAsia="Times New Roman" w:hAnsi="Arial" w:cs="Arial"/>
          <w:color w:val="000000"/>
          <w:sz w:val="24"/>
          <w:szCs w:val="24"/>
          <w:lang w:val="es-ES" w:eastAsia="es-BO"/>
        </w:rPr>
        <w:t>.-; José María Bejarano Ortiz, por el monto de Bs. 1.</w:t>
      </w:r>
      <w:r w:rsidR="00D01B3D" w:rsidRPr="00CE0B87">
        <w:rPr>
          <w:rFonts w:ascii="Arial" w:eastAsia="Times New Roman" w:hAnsi="Arial" w:cs="Arial"/>
          <w:color w:val="000000"/>
          <w:sz w:val="24"/>
          <w:szCs w:val="24"/>
          <w:lang w:val="es-ES" w:eastAsia="es-BO"/>
        </w:rPr>
        <w:t>126</w:t>
      </w:r>
      <w:r w:rsidRPr="00CE0B87">
        <w:rPr>
          <w:rFonts w:ascii="Arial" w:eastAsia="Times New Roman" w:hAnsi="Arial" w:cs="Arial"/>
          <w:color w:val="000000"/>
          <w:sz w:val="24"/>
          <w:szCs w:val="24"/>
          <w:lang w:val="es-ES" w:eastAsia="es-BO"/>
        </w:rPr>
        <w:t xml:space="preserve">.-; Osmar Carmelo Corpa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con monto de Bs. 1.</w:t>
      </w:r>
      <w:r w:rsidR="00D01B3D" w:rsidRPr="00CE0B87">
        <w:rPr>
          <w:rFonts w:ascii="Arial" w:eastAsia="Times New Roman" w:hAnsi="Arial" w:cs="Arial"/>
          <w:color w:val="000000"/>
          <w:sz w:val="24"/>
          <w:szCs w:val="24"/>
          <w:lang w:val="es-ES" w:eastAsia="es-BO"/>
        </w:rPr>
        <w:t>560</w:t>
      </w:r>
      <w:r w:rsidRPr="00CE0B87">
        <w:rPr>
          <w:rFonts w:ascii="Arial" w:eastAsia="Times New Roman" w:hAnsi="Arial" w:cs="Arial"/>
          <w:color w:val="000000"/>
          <w:sz w:val="24"/>
          <w:szCs w:val="24"/>
          <w:lang w:val="es-ES" w:eastAsia="es-BO"/>
        </w:rPr>
        <w:t xml:space="preserve">.-; y </w:t>
      </w:r>
      <w:proofErr w:type="spellStart"/>
      <w:r w:rsidRPr="00CE0B87">
        <w:rPr>
          <w:rFonts w:ascii="Arial" w:eastAsia="Times New Roman" w:hAnsi="Arial" w:cs="Arial"/>
          <w:color w:val="000000"/>
          <w:sz w:val="24"/>
          <w:szCs w:val="24"/>
          <w:lang w:val="es-ES" w:eastAsia="es-BO"/>
        </w:rPr>
        <w:t>Ronal</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Choma</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Supayabe</w:t>
      </w:r>
      <w:proofErr w:type="spellEnd"/>
      <w:r w:rsidRPr="00CE0B87">
        <w:rPr>
          <w:rFonts w:ascii="Arial" w:eastAsia="Times New Roman" w:hAnsi="Arial" w:cs="Arial"/>
          <w:color w:val="000000"/>
          <w:sz w:val="24"/>
          <w:szCs w:val="24"/>
          <w:lang w:val="es-ES" w:eastAsia="es-BO"/>
        </w:rPr>
        <w:t xml:space="preserve">, por el monto de Bs. </w:t>
      </w:r>
      <w:r w:rsidR="00D01B3D" w:rsidRPr="00CE0B87">
        <w:rPr>
          <w:rFonts w:ascii="Arial" w:eastAsia="Times New Roman" w:hAnsi="Arial" w:cs="Arial"/>
          <w:color w:val="000000"/>
          <w:sz w:val="24"/>
          <w:szCs w:val="24"/>
          <w:lang w:val="es-ES" w:eastAsia="es-BO"/>
        </w:rPr>
        <w:t>1.560.-</w:t>
      </w:r>
      <w:r w:rsidRPr="00CE0B87">
        <w:rPr>
          <w:rFonts w:ascii="Arial" w:eastAsia="Times New Roman" w:hAnsi="Arial" w:cs="Arial"/>
          <w:color w:val="000000"/>
          <w:sz w:val="24"/>
          <w:szCs w:val="24"/>
          <w:lang w:val="es-ES" w:eastAsia="es-BO"/>
        </w:rPr>
        <w:t>, documentos realizados el 02 de agosto de 2010 y 26 de octubre de 2011, respectivamente; de otra parte, se adjunta “Planilla de Sueldos y Salarios de Personal Permanente” (líquido pagable)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I.5.1.13.)</w:t>
      </w:r>
      <w:r w:rsidRPr="00CE0B87">
        <w:rPr>
          <w:rFonts w:ascii="Arial" w:eastAsia="Times New Roman" w:hAnsi="Arial" w:cs="Arial"/>
          <w:color w:val="000000"/>
          <w:sz w:val="24"/>
          <w:szCs w:val="24"/>
          <w:lang w:val="es-ES" w:eastAsia="es-BO"/>
        </w:rPr>
        <w:t xml:space="preserve">, correspondiente al mes de septiembre de 2013, agosto de 2014 y abril de 2015, suscrito por Joaquín Eguez París, evidenciándose que los sueldos con relación a José María Bejarano Ortiz, en la suma de Bs. 1.265,71.- Mauricio Casia Gonzales, es de Bs. 1.702,16.-; Ronald </w:t>
      </w:r>
      <w:proofErr w:type="spellStart"/>
      <w:r w:rsidRPr="00CE0B87">
        <w:rPr>
          <w:rFonts w:ascii="Arial" w:eastAsia="Times New Roman" w:hAnsi="Arial" w:cs="Arial"/>
          <w:color w:val="000000"/>
          <w:sz w:val="24"/>
          <w:szCs w:val="24"/>
          <w:lang w:val="es-ES" w:eastAsia="es-BO"/>
        </w:rPr>
        <w:t>Choma</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Supayave</w:t>
      </w:r>
      <w:proofErr w:type="spellEnd"/>
      <w:r w:rsidRPr="00CE0B87">
        <w:rPr>
          <w:rFonts w:ascii="Arial" w:eastAsia="Times New Roman" w:hAnsi="Arial" w:cs="Arial"/>
          <w:color w:val="000000"/>
          <w:sz w:val="24"/>
          <w:szCs w:val="24"/>
          <w:lang w:val="es-ES" w:eastAsia="es-BO"/>
        </w:rPr>
        <w:t xml:space="preserve">, corresponde a la suma de Bs. 829.26.- y Osmar Carmelo Corpa </w:t>
      </w:r>
      <w:proofErr w:type="spellStart"/>
      <w:r w:rsidRPr="00CE0B87">
        <w:rPr>
          <w:rFonts w:ascii="Arial" w:eastAsia="Times New Roman" w:hAnsi="Arial" w:cs="Arial"/>
          <w:color w:val="000000"/>
          <w:sz w:val="24"/>
          <w:szCs w:val="24"/>
          <w:lang w:val="es-ES" w:eastAsia="es-BO"/>
        </w:rPr>
        <w:t>Irapi</w:t>
      </w:r>
      <w:proofErr w:type="spellEnd"/>
      <w:r w:rsidRPr="00CE0B87">
        <w:rPr>
          <w:rFonts w:ascii="Arial" w:eastAsia="Times New Roman" w:hAnsi="Arial" w:cs="Arial"/>
          <w:color w:val="000000"/>
          <w:sz w:val="24"/>
          <w:szCs w:val="24"/>
          <w:lang w:val="es-ES" w:eastAsia="es-BO"/>
        </w:rPr>
        <w:t xml:space="preserve"> Bs. 1.265,71.- Bajo ese contexto y con relación al salario mínimo nacional establecido en las gestiones 2013, 2014 y 2015, se tiene que de la revisión del D.S. N° 1549 de 10 de abril de 2013, el salario mínimo nacional es de Bs. 1.200.- (art. 8); según el D.S. N° 1988 de 01 de mayo de 2014, refiere que el salario mínimo nacional es de Bs. 1.440.- (art.8); y por D.S. N° 2346 de 01 de mayo de 2015, se establece que el salario mínimo</w:t>
      </w:r>
      <w:r w:rsidR="00602272" w:rsidRPr="00CE0B87">
        <w:rPr>
          <w:rFonts w:ascii="Arial" w:eastAsia="Times New Roman" w:hAnsi="Arial" w:cs="Arial"/>
          <w:color w:val="000000"/>
          <w:sz w:val="24"/>
          <w:szCs w:val="24"/>
          <w:lang w:val="es-ES" w:eastAsia="es-BO"/>
        </w:rPr>
        <w:t xml:space="preserve"> nacional de Bs1.656.- (art.8)</w:t>
      </w:r>
      <w:r w:rsidR="00AD2AE0" w:rsidRPr="00CE0B87">
        <w:rPr>
          <w:rFonts w:ascii="Arial" w:eastAsia="Times New Roman" w:hAnsi="Arial" w:cs="Arial"/>
          <w:color w:val="000000"/>
          <w:sz w:val="24"/>
          <w:szCs w:val="24"/>
          <w:lang w:val="es-ES" w:eastAsia="es-BO"/>
        </w:rPr>
        <w:t>;</w:t>
      </w:r>
      <w:r w:rsidR="00602272" w:rsidRPr="00CE0B87">
        <w:rPr>
          <w:rFonts w:ascii="Arial" w:eastAsia="Times New Roman" w:hAnsi="Arial" w:cs="Arial"/>
          <w:color w:val="000000"/>
          <w:sz w:val="24"/>
          <w:szCs w:val="24"/>
          <w:lang w:val="es-ES" w:eastAsia="es-BO"/>
        </w:rPr>
        <w:t xml:space="preserve"> </w:t>
      </w:r>
      <w:r w:rsidR="00CB67AE">
        <w:rPr>
          <w:rFonts w:ascii="Arial" w:eastAsia="Times New Roman" w:hAnsi="Arial" w:cs="Arial"/>
          <w:color w:val="000000"/>
          <w:sz w:val="24"/>
          <w:szCs w:val="24"/>
          <w:lang w:val="es-ES" w:eastAsia="es-BO"/>
        </w:rPr>
        <w:t xml:space="preserve">consecuentemente, </w:t>
      </w:r>
      <w:r w:rsidR="00602272" w:rsidRPr="00CE0B87">
        <w:rPr>
          <w:rFonts w:ascii="Arial" w:eastAsia="Times New Roman" w:hAnsi="Arial" w:cs="Arial"/>
          <w:color w:val="000000"/>
          <w:sz w:val="24"/>
          <w:szCs w:val="24"/>
          <w:lang w:val="es-ES" w:eastAsia="es-BO"/>
        </w:rPr>
        <w:t xml:space="preserve">se puede advertir </w:t>
      </w:r>
      <w:r w:rsidR="00CB67AE">
        <w:rPr>
          <w:rFonts w:ascii="Arial" w:eastAsia="Times New Roman" w:hAnsi="Arial" w:cs="Arial"/>
          <w:color w:val="000000"/>
          <w:sz w:val="24"/>
          <w:szCs w:val="24"/>
          <w:lang w:val="es-ES" w:eastAsia="es-BO"/>
        </w:rPr>
        <w:t xml:space="preserve">la existencia de </w:t>
      </w:r>
      <w:r w:rsidR="00602272" w:rsidRPr="00CE0B87">
        <w:rPr>
          <w:rFonts w:ascii="Arial" w:eastAsia="Times New Roman" w:hAnsi="Arial" w:cs="Arial"/>
          <w:color w:val="000000"/>
          <w:sz w:val="24"/>
          <w:szCs w:val="24"/>
          <w:lang w:val="es-ES" w:eastAsia="es-BO"/>
        </w:rPr>
        <w:t>indicios de relaciones servidumbrales lo cual no fue</w:t>
      </w:r>
      <w:r w:rsidR="00AD2AE0" w:rsidRPr="00CE0B87">
        <w:rPr>
          <w:rFonts w:ascii="Arial" w:eastAsia="Times New Roman" w:hAnsi="Arial" w:cs="Arial"/>
          <w:color w:val="000000"/>
          <w:sz w:val="24"/>
          <w:szCs w:val="24"/>
          <w:lang w:val="es-ES" w:eastAsia="es-BO"/>
        </w:rPr>
        <w:t xml:space="preserve"> </w:t>
      </w:r>
      <w:r w:rsidR="00602272" w:rsidRPr="00CE0B87">
        <w:rPr>
          <w:rFonts w:ascii="Arial" w:eastAsia="Times New Roman" w:hAnsi="Arial" w:cs="Arial"/>
          <w:color w:val="000000"/>
          <w:sz w:val="24"/>
          <w:szCs w:val="24"/>
          <w:lang w:val="es-ES" w:eastAsia="es-BO"/>
        </w:rPr>
        <w:t>verifica</w:t>
      </w:r>
      <w:r w:rsidR="00F70746" w:rsidRPr="00CE0B87">
        <w:rPr>
          <w:rFonts w:ascii="Arial" w:eastAsia="Times New Roman" w:hAnsi="Arial" w:cs="Arial"/>
          <w:color w:val="000000"/>
          <w:sz w:val="24"/>
          <w:szCs w:val="24"/>
          <w:lang w:val="es-ES" w:eastAsia="es-BO"/>
        </w:rPr>
        <w:t>do</w:t>
      </w:r>
      <w:r w:rsidR="00602272" w:rsidRPr="00CE0B87">
        <w:rPr>
          <w:rFonts w:ascii="Arial" w:eastAsia="Times New Roman" w:hAnsi="Arial" w:cs="Arial"/>
          <w:color w:val="000000"/>
          <w:sz w:val="24"/>
          <w:szCs w:val="24"/>
          <w:lang w:val="es-ES" w:eastAsia="es-BO"/>
        </w:rPr>
        <w:t>, comproba</w:t>
      </w:r>
      <w:r w:rsidR="00F70746" w:rsidRPr="00CE0B87">
        <w:rPr>
          <w:rFonts w:ascii="Arial" w:eastAsia="Times New Roman" w:hAnsi="Arial" w:cs="Arial"/>
          <w:color w:val="000000"/>
          <w:sz w:val="24"/>
          <w:szCs w:val="24"/>
          <w:lang w:val="es-ES" w:eastAsia="es-BO"/>
        </w:rPr>
        <w:t>do</w:t>
      </w:r>
      <w:r w:rsidR="00602272" w:rsidRPr="00CE0B87">
        <w:rPr>
          <w:rFonts w:ascii="Arial" w:eastAsia="Times New Roman" w:hAnsi="Arial" w:cs="Arial"/>
          <w:color w:val="000000"/>
          <w:sz w:val="24"/>
          <w:szCs w:val="24"/>
          <w:lang w:val="es-ES" w:eastAsia="es-BO"/>
        </w:rPr>
        <w:t xml:space="preserve"> y determina</w:t>
      </w:r>
      <w:r w:rsidR="00AD2AE0" w:rsidRPr="00CE0B87">
        <w:rPr>
          <w:rFonts w:ascii="Arial" w:eastAsia="Times New Roman" w:hAnsi="Arial" w:cs="Arial"/>
          <w:color w:val="000000"/>
          <w:sz w:val="24"/>
          <w:szCs w:val="24"/>
          <w:lang w:val="es-ES" w:eastAsia="es-BO"/>
        </w:rPr>
        <w:t>do</w:t>
      </w:r>
      <w:r w:rsidR="00F70746" w:rsidRPr="00CE0B87">
        <w:rPr>
          <w:rFonts w:ascii="Arial" w:eastAsia="Times New Roman" w:hAnsi="Arial" w:cs="Arial"/>
          <w:color w:val="000000"/>
          <w:sz w:val="24"/>
          <w:szCs w:val="24"/>
          <w:lang w:val="es-ES" w:eastAsia="es-BO"/>
        </w:rPr>
        <w:t xml:space="preserve">  por parte del INRA</w:t>
      </w:r>
      <w:r w:rsidR="00AD2AE0" w:rsidRPr="00CE0B87">
        <w:rPr>
          <w:rFonts w:ascii="Arial" w:eastAsia="Times New Roman" w:hAnsi="Arial" w:cs="Arial"/>
          <w:color w:val="000000"/>
          <w:sz w:val="24"/>
          <w:szCs w:val="24"/>
          <w:lang w:val="es-ES" w:eastAsia="es-BO"/>
        </w:rPr>
        <w:t>,</w:t>
      </w:r>
      <w:r w:rsidR="00F70746" w:rsidRPr="00CE0B87">
        <w:rPr>
          <w:rFonts w:ascii="Arial" w:eastAsia="Times New Roman" w:hAnsi="Arial" w:cs="Arial"/>
          <w:color w:val="000000"/>
          <w:sz w:val="24"/>
          <w:szCs w:val="24"/>
          <w:lang w:val="es-ES" w:eastAsia="es-BO"/>
        </w:rPr>
        <w:t xml:space="preserve"> en la sustanciació</w:t>
      </w:r>
      <w:r w:rsidR="00AD2AE0" w:rsidRPr="00CE0B87">
        <w:rPr>
          <w:rFonts w:ascii="Arial" w:eastAsia="Times New Roman" w:hAnsi="Arial" w:cs="Arial"/>
          <w:color w:val="000000"/>
          <w:sz w:val="24"/>
          <w:szCs w:val="24"/>
          <w:lang w:val="es-ES" w:eastAsia="es-BO"/>
        </w:rPr>
        <w:t>n</w:t>
      </w:r>
      <w:r w:rsidR="00F70746" w:rsidRPr="00CE0B87">
        <w:rPr>
          <w:rFonts w:ascii="Arial" w:eastAsia="Times New Roman" w:hAnsi="Arial" w:cs="Arial"/>
          <w:color w:val="000000"/>
          <w:sz w:val="24"/>
          <w:szCs w:val="24"/>
          <w:lang w:val="es-ES" w:eastAsia="es-BO"/>
        </w:rPr>
        <w:t xml:space="preserve"> del proceso de saneamiento</w:t>
      </w:r>
      <w:r w:rsidR="00CB67AE">
        <w:rPr>
          <w:rFonts w:ascii="Arial" w:eastAsia="Times New Roman" w:hAnsi="Arial" w:cs="Arial"/>
          <w:color w:val="000000"/>
          <w:sz w:val="24"/>
          <w:szCs w:val="24"/>
          <w:lang w:val="es-ES" w:eastAsia="es-BO"/>
        </w:rPr>
        <w:t>.</w:t>
      </w:r>
    </w:p>
    <w:p w14:paraId="69F4AE57" w14:textId="5475CD65"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otra parte, con relación a las documentales presentadas en obrados por los terceros interesados a tiempo de contestar la demanda contenciosa administrativa, consistentes en declaraciones voluntarias </w:t>
      </w:r>
      <w:r w:rsidRPr="00CE0B87">
        <w:rPr>
          <w:rFonts w:ascii="Arial" w:eastAsia="Times New Roman" w:hAnsi="Arial" w:cs="Arial"/>
          <w:b/>
          <w:bCs/>
          <w:color w:val="000000"/>
          <w:sz w:val="24"/>
          <w:szCs w:val="24"/>
          <w:lang w:val="es-ES" w:eastAsia="es-BO"/>
        </w:rPr>
        <w:t>(I.5.2.2., I.5.2.3., I.5.2.4. y I.5.2.5), </w:t>
      </w:r>
      <w:r w:rsidRPr="00CE0B87">
        <w:rPr>
          <w:rFonts w:ascii="Arial" w:eastAsia="Times New Roman" w:hAnsi="Arial" w:cs="Arial"/>
          <w:color w:val="000000"/>
          <w:sz w:val="24"/>
          <w:szCs w:val="24"/>
          <w:lang w:val="es-ES" w:eastAsia="es-BO"/>
        </w:rPr>
        <w:t>realizadas por </w:t>
      </w:r>
      <w:r w:rsidRPr="00CE0B87">
        <w:rPr>
          <w:rFonts w:ascii="Arial" w:eastAsia="Times New Roman" w:hAnsi="Arial" w:cs="Arial"/>
          <w:color w:val="000000"/>
          <w:sz w:val="24"/>
          <w:szCs w:val="24"/>
          <w:lang w:val="es-ES_tradnl" w:eastAsia="es-BO"/>
        </w:rPr>
        <w:t xml:space="preserve">Renán </w:t>
      </w:r>
      <w:proofErr w:type="spellStart"/>
      <w:r w:rsidRPr="00CE0B87">
        <w:rPr>
          <w:rFonts w:ascii="Arial" w:eastAsia="Times New Roman" w:hAnsi="Arial" w:cs="Arial"/>
          <w:color w:val="000000"/>
          <w:sz w:val="24"/>
          <w:szCs w:val="24"/>
          <w:lang w:val="es-ES_tradnl" w:eastAsia="es-BO"/>
        </w:rPr>
        <w:t>Yllescas</w:t>
      </w:r>
      <w:proofErr w:type="spellEnd"/>
      <w:r w:rsidRPr="00CE0B87">
        <w:rPr>
          <w:rFonts w:ascii="Arial" w:eastAsia="Times New Roman" w:hAnsi="Arial" w:cs="Arial"/>
          <w:color w:val="000000"/>
          <w:sz w:val="24"/>
          <w:szCs w:val="24"/>
          <w:lang w:val="es-ES_tradnl" w:eastAsia="es-BO"/>
        </w:rPr>
        <w:t xml:space="preserve"> Gonzales y Casia Gonzales Mauricio, con relación al predio “Ayacucho I” y por otro lado, Carlos Savilla Romero y </w:t>
      </w:r>
      <w:proofErr w:type="spellStart"/>
      <w:r w:rsidRPr="00CE0B87">
        <w:rPr>
          <w:rFonts w:ascii="Arial" w:eastAsia="Times New Roman" w:hAnsi="Arial" w:cs="Arial"/>
          <w:color w:val="000000"/>
          <w:sz w:val="24"/>
          <w:szCs w:val="24"/>
          <w:lang w:val="es-ES_tradnl" w:eastAsia="es-BO"/>
        </w:rPr>
        <w:t>Soliz</w:t>
      </w:r>
      <w:proofErr w:type="spellEnd"/>
      <w:r w:rsidRPr="00CE0B87">
        <w:rPr>
          <w:rFonts w:ascii="Arial" w:eastAsia="Times New Roman" w:hAnsi="Arial" w:cs="Arial"/>
          <w:color w:val="000000"/>
          <w:sz w:val="24"/>
          <w:szCs w:val="24"/>
          <w:lang w:val="es-ES_tradnl" w:eastAsia="es-BO"/>
        </w:rPr>
        <w:t xml:space="preserve"> Viana Francisco, respecto al predio “Ayacucho”, que refieren por una parte</w:t>
      </w:r>
      <w:r w:rsidR="00CB67AE">
        <w:rPr>
          <w:rFonts w:ascii="Arial" w:eastAsia="Times New Roman" w:hAnsi="Arial" w:cs="Arial"/>
          <w:color w:val="000000"/>
          <w:sz w:val="24"/>
          <w:szCs w:val="24"/>
          <w:lang w:val="es-ES_tradnl" w:eastAsia="es-BO"/>
        </w:rPr>
        <w:t>,</w:t>
      </w:r>
      <w:r w:rsidRPr="00CE0B87">
        <w:rPr>
          <w:rFonts w:ascii="Arial" w:eastAsia="Times New Roman" w:hAnsi="Arial" w:cs="Arial"/>
          <w:color w:val="000000"/>
          <w:sz w:val="24"/>
          <w:szCs w:val="24"/>
          <w:lang w:val="es-ES_tradnl" w:eastAsia="es-BO"/>
        </w:rPr>
        <w:t xml:space="preserve"> que por un error involuntario y la premura del tiempo llenaron planillas de sueldo rápidamente </w:t>
      </w:r>
      <w:r w:rsidRPr="00CE0B87">
        <w:rPr>
          <w:rFonts w:ascii="Arial" w:eastAsia="Times New Roman" w:hAnsi="Arial" w:cs="Arial"/>
          <w:color w:val="000000"/>
          <w:sz w:val="24"/>
          <w:szCs w:val="24"/>
          <w:lang w:val="es-ES_tradnl" w:eastAsia="es-BO"/>
        </w:rPr>
        <w:lastRenderedPageBreak/>
        <w:t xml:space="preserve">para presentar al INRA, incurriendo en errores de sueldos de los trabajadores de los predios “Ayacucho” y “Ayacucho I”, generando planillas que no correspondía a la realidad y por otro lado, en las referidas documentales refieren que no hubo una vulneración a sus derechos dado que en el tiempo que trabajaron se les canceló montos superiores consignados en el salario mínimo vital establecido en su momento, sin embargo, esta documentación no puede ser considerada válida, por  dos circunstancias, la primera, porque existen contratos suscritos con los trabajadores, donde se advierte la remuneración que se va a percibir, cuyos documentos no pueden ser desvirtuados con solamente declaraciones, acorde a lo establecido por el art. 1290 del Código Civil, </w:t>
      </w:r>
      <w:r w:rsidRPr="00CE0B87">
        <w:rPr>
          <w:rFonts w:ascii="Arial" w:eastAsia="Times New Roman" w:hAnsi="Arial" w:cs="Arial"/>
          <w:color w:val="000000"/>
          <w:sz w:val="24"/>
          <w:szCs w:val="24"/>
          <w:lang w:val="es-ES" w:eastAsia="es-BO"/>
        </w:rPr>
        <w:t>y por otro</w:t>
      </w:r>
      <w:r w:rsidR="00CB67AE">
        <w:rPr>
          <w:rFonts w:ascii="Arial" w:eastAsia="Times New Roman" w:hAnsi="Arial" w:cs="Arial"/>
          <w:color w:val="000000"/>
          <w:sz w:val="24"/>
          <w:szCs w:val="24"/>
          <w:lang w:val="es-ES" w:eastAsia="es-BO"/>
        </w:rPr>
        <w:t>,</w:t>
      </w:r>
      <w:r w:rsidRPr="00CE0B87">
        <w:rPr>
          <w:rFonts w:ascii="Arial" w:eastAsia="Times New Roman" w:hAnsi="Arial" w:cs="Arial"/>
          <w:color w:val="000000"/>
          <w:sz w:val="24"/>
          <w:szCs w:val="24"/>
          <w:lang w:val="es-ES" w:eastAsia="es-BO"/>
        </w:rPr>
        <w:t xml:space="preserve"> porque </w:t>
      </w:r>
      <w:r w:rsidRPr="00CE0B87">
        <w:rPr>
          <w:rFonts w:ascii="Arial" w:eastAsia="Times New Roman" w:hAnsi="Arial" w:cs="Arial"/>
          <w:color w:val="000000"/>
          <w:sz w:val="24"/>
          <w:szCs w:val="24"/>
          <w:lang w:val="es-ES_tradnl" w:eastAsia="es-BO"/>
        </w:rPr>
        <w:t xml:space="preserve">no fueron de conocimiento de la entidad administrativa, ya que esta información debió ser presentada en el momento procesal oportuno </w:t>
      </w:r>
      <w:r w:rsidR="00ED3AC0">
        <w:rPr>
          <w:rFonts w:ascii="Arial" w:eastAsia="Times New Roman" w:hAnsi="Arial" w:cs="Arial"/>
          <w:color w:val="000000"/>
          <w:sz w:val="24"/>
          <w:szCs w:val="24"/>
          <w:lang w:val="es-ES_tradnl" w:eastAsia="es-BO"/>
        </w:rPr>
        <w:t>como ser</w:t>
      </w:r>
      <w:r w:rsidRPr="00CE0B87">
        <w:rPr>
          <w:rFonts w:ascii="Arial" w:eastAsia="Times New Roman" w:hAnsi="Arial" w:cs="Arial"/>
          <w:color w:val="000000"/>
          <w:sz w:val="24"/>
          <w:szCs w:val="24"/>
          <w:lang w:val="es-ES_tradnl" w:eastAsia="es-BO"/>
        </w:rPr>
        <w:t>, durante el Relevamiento de Información en Campo, es decir, que el propietario o beneficiario o sus representantes pueden presentar, los documentos aquí extrañados y toda otra de la que intentaren valerse, hasta antes de la conclusión de la actividad de relevamiento de información de campo, conforme prevén el art. 299 con relación al art. 161 del D.S. N° 29215, por cuanto la carga de la prueba incumbe al interesado,</w:t>
      </w:r>
      <w:r w:rsidRPr="00CE0B87">
        <w:rPr>
          <w:rFonts w:ascii="Arial" w:eastAsia="Times New Roman" w:hAnsi="Arial" w:cs="Arial"/>
          <w:color w:val="000000"/>
          <w:sz w:val="24"/>
          <w:szCs w:val="24"/>
          <w:lang w:val="es-ES" w:eastAsia="es-BO"/>
        </w:rPr>
        <w:t> pudiendo probar a través de todos los medios legalmente admitidos</w:t>
      </w:r>
      <w:r w:rsidRPr="00CE0B87">
        <w:rPr>
          <w:rFonts w:ascii="Arial" w:eastAsia="Times New Roman" w:hAnsi="Arial" w:cs="Arial"/>
          <w:color w:val="000000"/>
          <w:sz w:val="24"/>
          <w:szCs w:val="24"/>
          <w:lang w:val="es-ES_tradnl" w:eastAsia="es-BO"/>
        </w:rPr>
        <w:t> y debiendo ser presentados en los plazos establecidos conforme el procedimiento administrativo agrario técnico jurídico de saneamiento, máxime considerando que la etapa de campo fue ejecutada el 2015 y la Resolución Final de Saneamiento fue emitida el 21 de octubre de 2020, no cursando desde esa fecha en los antecedentes de saneamiento conforme a lo señalado.</w:t>
      </w:r>
    </w:p>
    <w:p w14:paraId="2C38D5FB" w14:textId="5BEAEB15" w:rsidR="00D5295C" w:rsidRDefault="00820DA6" w:rsidP="001C3E24">
      <w:pPr>
        <w:spacing w:after="0" w:line="360" w:lineRule="auto"/>
        <w:jc w:val="both"/>
        <w:rPr>
          <w:rFonts w:ascii="Arial" w:hAnsi="Arial" w:cs="Arial"/>
          <w:sz w:val="24"/>
          <w:szCs w:val="24"/>
        </w:rPr>
      </w:pPr>
      <w:r w:rsidRPr="00987B38">
        <w:rPr>
          <w:rFonts w:ascii="Arial" w:eastAsia="Times New Roman" w:hAnsi="Arial" w:cs="Arial"/>
          <w:color w:val="000000"/>
          <w:sz w:val="24"/>
          <w:szCs w:val="24"/>
          <w:lang w:val="es-ES_tradnl" w:eastAsia="es-BO"/>
        </w:rPr>
        <w:t xml:space="preserve">De lo expuesto, </w:t>
      </w:r>
      <w:r w:rsidR="00D5295C" w:rsidRPr="00987B38">
        <w:rPr>
          <w:rFonts w:ascii="Arial" w:eastAsia="Calibri" w:hAnsi="Arial" w:cs="Arial"/>
          <w:color w:val="000000"/>
          <w:sz w:val="24"/>
          <w:szCs w:val="24"/>
          <w:shd w:val="clear" w:color="auto" w:fill="FFFFFF"/>
        </w:rPr>
        <w:t>se</w:t>
      </w:r>
      <w:r w:rsidR="00D5295C">
        <w:rPr>
          <w:rFonts w:ascii="Arial" w:eastAsia="Calibri" w:hAnsi="Arial" w:cs="Arial"/>
          <w:color w:val="000000"/>
          <w:sz w:val="24"/>
          <w:szCs w:val="24"/>
          <w:shd w:val="clear" w:color="auto" w:fill="FFFFFF"/>
        </w:rPr>
        <w:t xml:space="preserve"> advierte</w:t>
      </w:r>
      <w:r w:rsidR="00D5295C" w:rsidRPr="00523091">
        <w:rPr>
          <w:rFonts w:ascii="Arial" w:eastAsia="Calibri" w:hAnsi="Arial" w:cs="Arial"/>
          <w:color w:val="000000"/>
          <w:sz w:val="24"/>
          <w:szCs w:val="24"/>
          <w:shd w:val="clear" w:color="auto" w:fill="FFFFFF"/>
        </w:rPr>
        <w:t xml:space="preserve"> la existencia de salarios percibidos por los trabajadores dependientes de los propietarios “Ayacucho” y “Ayacucho I”, por debajo del mínimo nacional, toda vez que, si bien el </w:t>
      </w:r>
      <w:r w:rsidR="00D5295C" w:rsidRPr="00523091">
        <w:rPr>
          <w:rFonts w:ascii="Arial" w:hAnsi="Arial" w:cs="Arial"/>
          <w:sz w:val="24"/>
          <w:szCs w:val="24"/>
        </w:rPr>
        <w:t>D.S. N° 388 de 23 de diciembre de 2009 establece como criterio conceptual que hace a la relaci</w:t>
      </w:r>
      <w:r w:rsidR="00D5295C">
        <w:rPr>
          <w:rFonts w:ascii="Arial" w:hAnsi="Arial" w:cs="Arial"/>
          <w:sz w:val="24"/>
          <w:szCs w:val="24"/>
        </w:rPr>
        <w:t>ones</w:t>
      </w:r>
      <w:r w:rsidR="00D5295C" w:rsidRPr="00523091">
        <w:rPr>
          <w:rFonts w:ascii="Arial" w:hAnsi="Arial" w:cs="Arial"/>
          <w:sz w:val="24"/>
          <w:szCs w:val="24"/>
        </w:rPr>
        <w:t xml:space="preserve"> servidumbrales </w:t>
      </w:r>
      <w:r w:rsidR="00D5295C">
        <w:rPr>
          <w:rFonts w:ascii="Arial" w:hAnsi="Arial" w:cs="Arial"/>
          <w:sz w:val="24"/>
          <w:szCs w:val="24"/>
        </w:rPr>
        <w:t>“</w:t>
      </w:r>
      <w:r w:rsidR="00D5295C" w:rsidRPr="00523091">
        <w:rPr>
          <w:rFonts w:ascii="Arial" w:hAnsi="Arial" w:cs="Arial"/>
          <w:sz w:val="24"/>
          <w:szCs w:val="24"/>
        </w:rPr>
        <w:t>el pago en efectivo menor al mínimo nacional</w:t>
      </w:r>
      <w:r w:rsidR="00D5295C">
        <w:rPr>
          <w:rFonts w:ascii="Arial" w:hAnsi="Arial" w:cs="Arial"/>
          <w:sz w:val="24"/>
          <w:szCs w:val="24"/>
        </w:rPr>
        <w:t xml:space="preserve">”; asimismo, respecto del tema, el art. 157 del D.S. 29215 en el último párrafo determina que: </w:t>
      </w:r>
      <w:r w:rsidR="00D5295C" w:rsidRPr="007D2842">
        <w:rPr>
          <w:rFonts w:ascii="Arial" w:hAnsi="Arial" w:cs="Arial"/>
          <w:i/>
          <w:sz w:val="24"/>
          <w:szCs w:val="24"/>
        </w:rPr>
        <w:t xml:space="preserve">“De establecerse que con relación al personal asalariado exista incumplimiento de obligaciones laborales, </w:t>
      </w:r>
      <w:r w:rsidR="00D5295C" w:rsidRPr="00AA2B40">
        <w:rPr>
          <w:rFonts w:ascii="Arial" w:hAnsi="Arial" w:cs="Arial"/>
          <w:i/>
          <w:sz w:val="24"/>
          <w:szCs w:val="24"/>
          <w:u w:val="single"/>
        </w:rPr>
        <w:t>el Instituto Nacional de Reforma Agraria denunciará a la instancia competente</w:t>
      </w:r>
      <w:r w:rsidR="00D5295C">
        <w:rPr>
          <w:rFonts w:ascii="Arial" w:hAnsi="Arial" w:cs="Arial"/>
          <w:sz w:val="24"/>
          <w:szCs w:val="24"/>
        </w:rPr>
        <w:t>”; es decir, que, de establecerse la existencia de incumplimiento de obligaciones laborales, en INRA denunciará a la instancia competente; tomando en cuenta que el</w:t>
      </w:r>
      <w:r w:rsidR="00D5295C" w:rsidRPr="00923FE8">
        <w:rPr>
          <w:rFonts w:ascii="Arial" w:hAnsi="Arial" w:cs="Arial"/>
          <w:sz w:val="24"/>
          <w:szCs w:val="24"/>
        </w:rPr>
        <w:t xml:space="preserve"> </w:t>
      </w:r>
      <w:r w:rsidR="00D5295C">
        <w:rPr>
          <w:rFonts w:ascii="Arial" w:hAnsi="Arial" w:cs="Arial"/>
          <w:sz w:val="24"/>
          <w:szCs w:val="24"/>
        </w:rPr>
        <w:t xml:space="preserve">D.S. N° 388, solo establece los criterios conceptuales que hacen a las relaciones servidumbrales; más aún cuando conforme la Jurisprudencia Constitucional, a través de la SCP 1839/2013 de 25 de octubre, previa a una evaluación del art. 157 del D.S. N° 29215, hace una diferenciación conceptual del contenido de dicha norma respecto de qué </w:t>
      </w:r>
      <w:r w:rsidR="00D5295C">
        <w:rPr>
          <w:rFonts w:ascii="Arial" w:hAnsi="Arial" w:cs="Arial"/>
          <w:sz w:val="24"/>
          <w:szCs w:val="24"/>
        </w:rPr>
        <w:lastRenderedPageBreak/>
        <w:t>parte del texto de dicho artículo sería incompatible</w:t>
      </w:r>
      <w:r w:rsidR="00D5295C" w:rsidRPr="00CA22AE">
        <w:rPr>
          <w:rFonts w:ascii="Arial" w:hAnsi="Arial" w:cs="Arial"/>
          <w:sz w:val="24"/>
          <w:szCs w:val="24"/>
        </w:rPr>
        <w:t xml:space="preserve"> con el beneficio de la sociedad y el interés colectivo</w:t>
      </w:r>
      <w:r w:rsidR="00D5295C">
        <w:rPr>
          <w:rFonts w:ascii="Arial" w:hAnsi="Arial" w:cs="Arial"/>
          <w:sz w:val="24"/>
          <w:szCs w:val="24"/>
        </w:rPr>
        <w:t xml:space="preserve">; advirtiendo la siguiente diferenciación: </w:t>
      </w:r>
    </w:p>
    <w:p w14:paraId="1B75B82E" w14:textId="77777777" w:rsidR="00D5295C" w:rsidRPr="00D87570" w:rsidRDefault="00D5295C" w:rsidP="001C3E24">
      <w:pPr>
        <w:spacing w:after="0" w:line="360" w:lineRule="auto"/>
        <w:ind w:left="708"/>
        <w:jc w:val="both"/>
        <w:rPr>
          <w:rFonts w:ascii="Arial" w:hAnsi="Arial" w:cs="Arial"/>
          <w:i/>
          <w:sz w:val="24"/>
          <w:szCs w:val="24"/>
        </w:rPr>
      </w:pPr>
      <w:r>
        <w:rPr>
          <w:rFonts w:ascii="Arial" w:hAnsi="Arial" w:cs="Arial"/>
          <w:i/>
          <w:sz w:val="24"/>
          <w:szCs w:val="24"/>
        </w:rPr>
        <w:t>“</w:t>
      </w:r>
      <w:r w:rsidRPr="00D87570">
        <w:rPr>
          <w:rFonts w:ascii="Arial" w:hAnsi="Arial" w:cs="Arial"/>
          <w:i/>
          <w:sz w:val="24"/>
          <w:szCs w:val="24"/>
        </w:rPr>
        <w:t>En el marco precedente, corresponde evaluar las normas ahora demandadas de inconstitucionalidad, en esa labor conviene exponer las normas del art. 157 del DS 29215, las que disponen lo siguiente:</w:t>
      </w:r>
    </w:p>
    <w:p w14:paraId="0E2786D2" w14:textId="77777777" w:rsidR="00D5295C" w:rsidRPr="00D87570" w:rsidRDefault="00D5295C" w:rsidP="001C3E24">
      <w:pPr>
        <w:spacing w:after="0" w:line="360" w:lineRule="auto"/>
        <w:ind w:left="708"/>
        <w:jc w:val="both"/>
        <w:rPr>
          <w:rFonts w:ascii="Arial" w:hAnsi="Arial" w:cs="Arial"/>
          <w:i/>
          <w:sz w:val="24"/>
          <w:szCs w:val="24"/>
        </w:rPr>
      </w:pPr>
      <w:r w:rsidRPr="00D87570">
        <w:rPr>
          <w:rFonts w:ascii="Arial" w:hAnsi="Arial" w:cs="Arial"/>
          <w:b/>
          <w:bCs/>
          <w:i/>
          <w:sz w:val="24"/>
          <w:szCs w:val="24"/>
        </w:rPr>
        <w:t xml:space="preserve">“… (EL BENEFICIO DE LA SOCIEDAD Y EL INTERÉS COLECTIVO EN EL CUMPLIMIENTO DE LA FUNCIÓN ECONÓMICO - SOCIAL RESPECTO A LAS RELACIONES SERVIDUMBRALES). </w:t>
      </w:r>
      <w:r w:rsidRPr="00D87570">
        <w:rPr>
          <w:rFonts w:ascii="Arial" w:hAnsi="Arial" w:cs="Arial"/>
          <w:i/>
          <w:sz w:val="24"/>
          <w:szCs w:val="24"/>
        </w:rPr>
        <w:t>El beneficio de la sociedad y el interés colectivo son inherentes al cumplimiento de la función económico -social, por lo que las actividades productivas que desarrolle un propietario no deben ser contrarias a esta previsión.</w:t>
      </w:r>
    </w:p>
    <w:p w14:paraId="1D6BCC0E" w14:textId="77777777" w:rsidR="00D5295C" w:rsidRPr="00D87570" w:rsidRDefault="00D5295C" w:rsidP="001C3E24">
      <w:pPr>
        <w:spacing w:after="0" w:line="360" w:lineRule="auto"/>
        <w:ind w:left="708"/>
        <w:jc w:val="both"/>
        <w:rPr>
          <w:rFonts w:ascii="Arial" w:hAnsi="Arial" w:cs="Arial"/>
          <w:i/>
          <w:sz w:val="24"/>
          <w:szCs w:val="24"/>
        </w:rPr>
      </w:pPr>
      <w:r w:rsidRPr="00D87570">
        <w:rPr>
          <w:rFonts w:ascii="Arial" w:hAnsi="Arial" w:cs="Arial"/>
          <w:i/>
          <w:sz w:val="24"/>
          <w:szCs w:val="24"/>
        </w:rPr>
        <w:t xml:space="preserve">Donde exista un sistema </w:t>
      </w:r>
      <w:proofErr w:type="spellStart"/>
      <w:r w:rsidRPr="00D87570">
        <w:rPr>
          <w:rFonts w:ascii="Arial" w:hAnsi="Arial" w:cs="Arial"/>
          <w:i/>
          <w:sz w:val="24"/>
          <w:szCs w:val="24"/>
        </w:rPr>
        <w:t>servidumbral</w:t>
      </w:r>
      <w:proofErr w:type="spellEnd"/>
      <w:r w:rsidRPr="00D87570">
        <w:rPr>
          <w:rFonts w:ascii="Arial" w:hAnsi="Arial" w:cs="Arial"/>
          <w:i/>
          <w:sz w:val="24"/>
          <w:szCs w:val="24"/>
        </w:rPr>
        <w:t xml:space="preserve">, trabajo forzoso, </w:t>
      </w:r>
      <w:proofErr w:type="spellStart"/>
      <w:r w:rsidRPr="00D87570">
        <w:rPr>
          <w:rFonts w:ascii="Arial" w:hAnsi="Arial" w:cs="Arial"/>
          <w:i/>
          <w:sz w:val="24"/>
          <w:szCs w:val="24"/>
        </w:rPr>
        <w:t>peonazgo</w:t>
      </w:r>
      <w:proofErr w:type="spellEnd"/>
      <w:r w:rsidRPr="00D87570">
        <w:rPr>
          <w:rFonts w:ascii="Arial" w:hAnsi="Arial" w:cs="Arial"/>
          <w:i/>
          <w:sz w:val="24"/>
          <w:szCs w:val="24"/>
        </w:rPr>
        <w:t xml:space="preserve"> por deudas y/o esclavitud de familias o personas cautivas en el área rural, que violentan lo establecido en los Artículos 5 y 157 de la Constitución Política del Estado, en Convenios Internacionales ratificados por el Estado Boliviano, Artículos 144 y 145 de la Ley N° 3464, Numerales 3 y 4 de la Ley N° 1715, y la Disposición Final Cuarta de la Ley N° 1715 son contrarias al beneficio de la sociedad y el interés colectivo, en consecuencia implica el incumplimiento de la función económico-social, aunque en el predio existieren áreas efectivamente aprovechadas y se estará a las previsiones de la Ley y el presente Reglamento</w:t>
      </w:r>
      <w:r w:rsidRPr="00D87570">
        <w:rPr>
          <w:rFonts w:ascii="Arial" w:hAnsi="Arial" w:cs="Arial"/>
          <w:i/>
          <w:iCs/>
          <w:sz w:val="24"/>
          <w:szCs w:val="24"/>
        </w:rPr>
        <w:t>.</w:t>
      </w:r>
    </w:p>
    <w:p w14:paraId="4B7FFD8B" w14:textId="77777777" w:rsidR="00D5295C" w:rsidRPr="00D87570" w:rsidRDefault="00D5295C" w:rsidP="001C3E24">
      <w:pPr>
        <w:spacing w:after="0" w:line="360" w:lineRule="auto"/>
        <w:ind w:left="708"/>
        <w:jc w:val="both"/>
        <w:rPr>
          <w:rFonts w:ascii="Arial" w:hAnsi="Arial" w:cs="Arial"/>
          <w:i/>
          <w:sz w:val="24"/>
          <w:szCs w:val="24"/>
        </w:rPr>
      </w:pPr>
      <w:r w:rsidRPr="00D87570">
        <w:rPr>
          <w:rFonts w:ascii="Arial" w:hAnsi="Arial" w:cs="Arial"/>
          <w:i/>
          <w:sz w:val="24"/>
          <w:szCs w:val="24"/>
        </w:rPr>
        <w:t xml:space="preserve">No se reconocen las deudas de obligaciones personales como resultado de relaciones </w:t>
      </w:r>
      <w:proofErr w:type="spellStart"/>
      <w:r w:rsidRPr="00D87570">
        <w:rPr>
          <w:rFonts w:ascii="Arial" w:hAnsi="Arial" w:cs="Arial"/>
          <w:i/>
          <w:sz w:val="24"/>
          <w:szCs w:val="24"/>
        </w:rPr>
        <w:t>servidumbrales</w:t>
      </w:r>
      <w:proofErr w:type="spellEnd"/>
      <w:r w:rsidRPr="00D87570">
        <w:rPr>
          <w:rFonts w:ascii="Arial" w:hAnsi="Arial" w:cs="Arial"/>
          <w:i/>
          <w:sz w:val="24"/>
          <w:szCs w:val="24"/>
        </w:rPr>
        <w:t xml:space="preserve">, trabajo forzoso, </w:t>
      </w:r>
      <w:proofErr w:type="spellStart"/>
      <w:r w:rsidRPr="00D87570">
        <w:rPr>
          <w:rFonts w:ascii="Arial" w:hAnsi="Arial" w:cs="Arial"/>
          <w:i/>
          <w:sz w:val="24"/>
          <w:szCs w:val="24"/>
        </w:rPr>
        <w:t>peonazgo</w:t>
      </w:r>
      <w:proofErr w:type="spellEnd"/>
      <w:r w:rsidRPr="00D87570">
        <w:rPr>
          <w:rFonts w:ascii="Arial" w:hAnsi="Arial" w:cs="Arial"/>
          <w:i/>
          <w:sz w:val="24"/>
          <w:szCs w:val="24"/>
        </w:rPr>
        <w:t>, esclavitud o cautiverio.</w:t>
      </w:r>
    </w:p>
    <w:p w14:paraId="082E89C7" w14:textId="77777777" w:rsidR="00D5295C" w:rsidRPr="00D87570" w:rsidRDefault="00D5295C" w:rsidP="001C3E24">
      <w:pPr>
        <w:spacing w:after="0" w:line="360" w:lineRule="auto"/>
        <w:ind w:left="708"/>
        <w:jc w:val="both"/>
        <w:rPr>
          <w:rFonts w:ascii="Arial" w:hAnsi="Arial" w:cs="Arial"/>
          <w:i/>
          <w:sz w:val="24"/>
          <w:szCs w:val="24"/>
        </w:rPr>
      </w:pPr>
      <w:r w:rsidRPr="00D87570">
        <w:rPr>
          <w:rFonts w:ascii="Arial" w:hAnsi="Arial" w:cs="Arial"/>
          <w:b/>
          <w:bCs/>
          <w:i/>
          <w:sz w:val="24"/>
          <w:szCs w:val="24"/>
        </w:rPr>
        <w:t>&gt;De establecerse que con relación al personal asalariado exista incumplimiento de obligaciones laborales, el Instituto Nacional de Reforma Agraria denunciará a la instancia competente</w:t>
      </w:r>
      <w:r w:rsidRPr="00D87570">
        <w:rPr>
          <w:rFonts w:ascii="Arial" w:hAnsi="Arial" w:cs="Arial"/>
          <w:i/>
          <w:sz w:val="24"/>
          <w:szCs w:val="24"/>
        </w:rPr>
        <w:t>”.</w:t>
      </w:r>
    </w:p>
    <w:p w14:paraId="7C684752" w14:textId="77777777" w:rsidR="00D5295C" w:rsidRPr="0007573D" w:rsidRDefault="00D5295C" w:rsidP="001C3E24">
      <w:pPr>
        <w:spacing w:after="0" w:line="360" w:lineRule="auto"/>
        <w:ind w:left="708"/>
        <w:jc w:val="both"/>
        <w:rPr>
          <w:rFonts w:ascii="Arial" w:hAnsi="Arial" w:cs="Arial"/>
          <w:i/>
          <w:sz w:val="24"/>
          <w:szCs w:val="24"/>
          <w:u w:val="single"/>
        </w:rPr>
      </w:pPr>
      <w:r w:rsidRPr="0007573D">
        <w:rPr>
          <w:rFonts w:ascii="Arial" w:hAnsi="Arial" w:cs="Arial"/>
          <w:i/>
          <w:sz w:val="24"/>
          <w:szCs w:val="24"/>
          <w:u w:val="single"/>
        </w:rPr>
        <w:t xml:space="preserve">Las normas contenidas en el precepto glosado, contienen tres normas, la primera de ellas comprendida en los primeros dos párrafos, dispone la reversión de la propiedad agraria en aquellos propiedades en las que se mantenga relaciones de servidumbre, trabajo forzoso, </w:t>
      </w:r>
      <w:proofErr w:type="spellStart"/>
      <w:r w:rsidRPr="0007573D">
        <w:rPr>
          <w:rFonts w:ascii="Arial" w:hAnsi="Arial" w:cs="Arial"/>
          <w:i/>
          <w:sz w:val="24"/>
          <w:szCs w:val="24"/>
          <w:u w:val="single"/>
        </w:rPr>
        <w:t>peonazgo</w:t>
      </w:r>
      <w:proofErr w:type="spellEnd"/>
      <w:r w:rsidRPr="0007573D">
        <w:rPr>
          <w:rFonts w:ascii="Arial" w:hAnsi="Arial" w:cs="Arial"/>
          <w:i/>
          <w:sz w:val="24"/>
          <w:szCs w:val="24"/>
          <w:u w:val="single"/>
        </w:rPr>
        <w:t xml:space="preserve"> por deudas, esclavitud de familias o existan personas cautivas; por considerar que ese tipo de relaciones implica el incumplimiento de la función económico social, requisito indispensable para conservar la propiedad rural, puesto que la persistencia de esas formas de explotación del ser humano no son compatibles con el beneficio de la sociedad y el interés colectivo.</w:t>
      </w:r>
    </w:p>
    <w:p w14:paraId="4784FF30" w14:textId="356FA955" w:rsidR="00D5295C" w:rsidRDefault="00D5295C" w:rsidP="001C3E24">
      <w:pPr>
        <w:spacing w:after="0" w:line="360" w:lineRule="auto"/>
        <w:ind w:left="708"/>
        <w:jc w:val="both"/>
        <w:rPr>
          <w:rFonts w:ascii="Arial" w:hAnsi="Arial" w:cs="Arial"/>
          <w:sz w:val="24"/>
          <w:szCs w:val="24"/>
        </w:rPr>
      </w:pPr>
      <w:r w:rsidRPr="0007573D">
        <w:rPr>
          <w:rFonts w:ascii="Arial" w:hAnsi="Arial" w:cs="Arial"/>
          <w:i/>
          <w:sz w:val="24"/>
          <w:szCs w:val="24"/>
          <w:u w:val="single"/>
        </w:rPr>
        <w:lastRenderedPageBreak/>
        <w:t xml:space="preserve">Las otras dos normas inmersas en </w:t>
      </w:r>
      <w:proofErr w:type="gramStart"/>
      <w:r w:rsidRPr="0007573D">
        <w:rPr>
          <w:rFonts w:ascii="Arial" w:hAnsi="Arial" w:cs="Arial"/>
          <w:i/>
          <w:sz w:val="24"/>
          <w:szCs w:val="24"/>
          <w:u w:val="single"/>
        </w:rPr>
        <w:t>las párrafos siguientes</w:t>
      </w:r>
      <w:proofErr w:type="gramEnd"/>
      <w:r w:rsidRPr="0007573D">
        <w:rPr>
          <w:rFonts w:ascii="Arial" w:hAnsi="Arial" w:cs="Arial"/>
          <w:i/>
          <w:sz w:val="24"/>
          <w:szCs w:val="24"/>
          <w:u w:val="single"/>
        </w:rPr>
        <w:t>, imponen el desconocimiento de deudas personales que resulten de las situaciones descritas; mientras que la última, establece la obligación que tiene el INRA, de efectivizar una denuncia ante las autoridades laborales, cuando tome conocimiento de incumplimiento de obligaciones laborales a favor del personal asalariado de una propiedad agraria.</w:t>
      </w:r>
      <w:r w:rsidRPr="0007573D">
        <w:rPr>
          <w:rFonts w:ascii="Arial" w:hAnsi="Arial" w:cs="Arial"/>
          <w:i/>
          <w:sz w:val="24"/>
          <w:szCs w:val="24"/>
        </w:rPr>
        <w:t>”</w:t>
      </w:r>
      <w:r w:rsidR="001C3E24">
        <w:rPr>
          <w:rFonts w:ascii="Arial" w:hAnsi="Arial" w:cs="Arial"/>
          <w:i/>
          <w:sz w:val="24"/>
          <w:szCs w:val="24"/>
        </w:rPr>
        <w:t xml:space="preserve"> </w:t>
      </w:r>
      <w:r w:rsidRPr="00616C3A">
        <w:rPr>
          <w:rFonts w:ascii="Arial" w:hAnsi="Arial" w:cs="Arial"/>
          <w:sz w:val="24"/>
          <w:szCs w:val="24"/>
        </w:rPr>
        <w:t>(el subrayado nos corresponde)</w:t>
      </w:r>
    </w:p>
    <w:p w14:paraId="03493020" w14:textId="77777777" w:rsidR="00D5295C" w:rsidRDefault="00D5295C" w:rsidP="001C3E24">
      <w:pPr>
        <w:spacing w:after="0" w:line="360" w:lineRule="auto"/>
        <w:jc w:val="both"/>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 xml:space="preserve">De la citada jurisprudencia se comprende que el art. 157 del D.S. N° 29215, contiene tres normas; la primera, consistente en los primeros dos párrafos, que dispone la reversión de la propiedad agraria en aquellas propiedades en las que se mantengan </w:t>
      </w:r>
      <w:r w:rsidRPr="00071993">
        <w:rPr>
          <w:rFonts w:ascii="Arial" w:eastAsia="Calibri" w:hAnsi="Arial" w:cs="Arial"/>
          <w:color w:val="000000"/>
          <w:sz w:val="24"/>
          <w:szCs w:val="24"/>
          <w:shd w:val="clear" w:color="auto" w:fill="FFFFFF"/>
        </w:rPr>
        <w:t xml:space="preserve">relaciones de servidumbre, trabajo forzoso, </w:t>
      </w:r>
      <w:proofErr w:type="spellStart"/>
      <w:r w:rsidRPr="00071993">
        <w:rPr>
          <w:rFonts w:ascii="Arial" w:eastAsia="Calibri" w:hAnsi="Arial" w:cs="Arial"/>
          <w:color w:val="000000"/>
          <w:sz w:val="24"/>
          <w:szCs w:val="24"/>
          <w:shd w:val="clear" w:color="auto" w:fill="FFFFFF"/>
        </w:rPr>
        <w:t>peonazgo</w:t>
      </w:r>
      <w:proofErr w:type="spellEnd"/>
      <w:r w:rsidRPr="00071993">
        <w:rPr>
          <w:rFonts w:ascii="Arial" w:eastAsia="Calibri" w:hAnsi="Arial" w:cs="Arial"/>
          <w:color w:val="000000"/>
          <w:sz w:val="24"/>
          <w:szCs w:val="24"/>
          <w:shd w:val="clear" w:color="auto" w:fill="FFFFFF"/>
        </w:rPr>
        <w:t xml:space="preserve"> por deudas, esclavitud de familias o existan personas cautivas</w:t>
      </w:r>
      <w:r>
        <w:rPr>
          <w:rFonts w:ascii="Arial" w:eastAsia="Calibri" w:hAnsi="Arial" w:cs="Arial"/>
          <w:color w:val="000000"/>
          <w:sz w:val="24"/>
          <w:szCs w:val="24"/>
          <w:shd w:val="clear" w:color="auto" w:fill="FFFFFF"/>
        </w:rPr>
        <w:t xml:space="preserve"> y que la persistencia de dichas formas de explotación no son compatibles con el beneficio de la sociedad y el interés colectivo que hace al cumplimiento de la función económica social.</w:t>
      </w:r>
    </w:p>
    <w:p w14:paraId="29C7E98F" w14:textId="77777777" w:rsidR="00D5295C" w:rsidRDefault="00D5295C" w:rsidP="001C3E24">
      <w:pPr>
        <w:spacing w:after="0" w:line="360" w:lineRule="auto"/>
        <w:jc w:val="both"/>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Asimismo, las dos siguientes normas, según el texto constitucional, englobaría los dos últimos párrafos, vislumbrando; por una parte, que la segunda norma impone el desconocimiento de deudas personales que resulten de las relaciones servidumbrales; y por otra, como una tercera norma, establece la obligación que tiene el INRA de realizar la denuncia ante las autoridades laborales cuando identifique el incumplimiento de obligaciones laborales, en el caso presente el pago de salarios menores al mínimo nacional.</w:t>
      </w:r>
    </w:p>
    <w:p w14:paraId="503BADBD" w14:textId="77777777" w:rsidR="0071516D" w:rsidRDefault="00D5295C" w:rsidP="001C3E24">
      <w:pPr>
        <w:spacing w:after="0" w:line="360" w:lineRule="auto"/>
        <w:jc w:val="both"/>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 xml:space="preserve">Ahora bien, como se puede advertir del análisis efectuado a los entendimientos del Tribunal Constitucional, la primera parte del contenido del art, 157 del D.S. N° 29215 es la que </w:t>
      </w:r>
      <w:r w:rsidRPr="00881A6B">
        <w:rPr>
          <w:rFonts w:ascii="Arial" w:eastAsia="Calibri" w:hAnsi="Arial" w:cs="Arial"/>
          <w:color w:val="000000"/>
          <w:sz w:val="24"/>
          <w:szCs w:val="24"/>
          <w:shd w:val="clear" w:color="auto" w:fill="FFFFFF"/>
        </w:rPr>
        <w:t>dispone la reversión de la propiedad agraria en aquell</w:t>
      </w:r>
      <w:r>
        <w:rPr>
          <w:rFonts w:ascii="Arial" w:eastAsia="Calibri" w:hAnsi="Arial" w:cs="Arial"/>
          <w:color w:val="000000"/>
          <w:sz w:val="24"/>
          <w:szCs w:val="24"/>
          <w:shd w:val="clear" w:color="auto" w:fill="FFFFFF"/>
        </w:rPr>
        <w:t>a</w:t>
      </w:r>
      <w:r w:rsidRPr="00881A6B">
        <w:rPr>
          <w:rFonts w:ascii="Arial" w:eastAsia="Calibri" w:hAnsi="Arial" w:cs="Arial"/>
          <w:color w:val="000000"/>
          <w:sz w:val="24"/>
          <w:szCs w:val="24"/>
          <w:shd w:val="clear" w:color="auto" w:fill="FFFFFF"/>
        </w:rPr>
        <w:t xml:space="preserve">s propiedades en las que se mantenga relaciones de servidumbre, trabajo forzoso, </w:t>
      </w:r>
      <w:proofErr w:type="spellStart"/>
      <w:r w:rsidRPr="00881A6B">
        <w:rPr>
          <w:rFonts w:ascii="Arial" w:eastAsia="Calibri" w:hAnsi="Arial" w:cs="Arial"/>
          <w:color w:val="000000"/>
          <w:sz w:val="24"/>
          <w:szCs w:val="24"/>
          <w:shd w:val="clear" w:color="auto" w:fill="FFFFFF"/>
        </w:rPr>
        <w:t>peonazgo</w:t>
      </w:r>
      <w:proofErr w:type="spellEnd"/>
      <w:r w:rsidRPr="00881A6B">
        <w:rPr>
          <w:rFonts w:ascii="Arial" w:eastAsia="Calibri" w:hAnsi="Arial" w:cs="Arial"/>
          <w:color w:val="000000"/>
          <w:sz w:val="24"/>
          <w:szCs w:val="24"/>
          <w:shd w:val="clear" w:color="auto" w:fill="FFFFFF"/>
        </w:rPr>
        <w:t xml:space="preserve"> por deudas, esclavitud de familias o existan personas cautivas; por considerar que ese tipo de relaciones implica el incumplimiento de la función económico social</w:t>
      </w:r>
      <w:r>
        <w:rPr>
          <w:rFonts w:ascii="Arial" w:eastAsia="Calibri" w:hAnsi="Arial" w:cs="Arial"/>
          <w:color w:val="000000"/>
          <w:sz w:val="24"/>
          <w:szCs w:val="24"/>
          <w:shd w:val="clear" w:color="auto" w:fill="FFFFFF"/>
        </w:rPr>
        <w:t xml:space="preserve"> y la persistencia de estas no son compatibles con el beneficio de la sociedad y el interés colectivo; sin embargo, se hace una discriminación respecto del contenido de los dos últimos párrafos, en la que en la parte pertinente el Tribunal Constitucional comprende que, </w:t>
      </w:r>
      <w:r w:rsidRPr="00881A6B">
        <w:rPr>
          <w:rFonts w:ascii="Arial" w:eastAsia="Calibri" w:hAnsi="Arial" w:cs="Arial"/>
          <w:color w:val="000000"/>
          <w:sz w:val="24"/>
          <w:szCs w:val="24"/>
          <w:shd w:val="clear" w:color="auto" w:fill="FFFFFF"/>
        </w:rPr>
        <w:t xml:space="preserve">el INRA cuando identifique el incumplimiento de obligaciones laborales </w:t>
      </w:r>
      <w:r>
        <w:rPr>
          <w:rFonts w:ascii="Arial" w:eastAsia="Calibri" w:hAnsi="Arial" w:cs="Arial"/>
          <w:color w:val="000000"/>
          <w:sz w:val="24"/>
          <w:szCs w:val="24"/>
          <w:shd w:val="clear" w:color="auto" w:fill="FFFFFF"/>
        </w:rPr>
        <w:t>tiene la obligación de efectivizar la</w:t>
      </w:r>
      <w:r w:rsidRPr="00881A6B">
        <w:rPr>
          <w:rFonts w:ascii="Arial" w:eastAsia="Calibri" w:hAnsi="Arial" w:cs="Arial"/>
          <w:color w:val="000000"/>
          <w:sz w:val="24"/>
          <w:szCs w:val="24"/>
          <w:shd w:val="clear" w:color="auto" w:fill="FFFFFF"/>
        </w:rPr>
        <w:t xml:space="preserve"> denuncia ante las autoridades laborales</w:t>
      </w:r>
      <w:r>
        <w:rPr>
          <w:rFonts w:ascii="Arial" w:eastAsia="Calibri" w:hAnsi="Arial" w:cs="Arial"/>
          <w:color w:val="000000"/>
          <w:sz w:val="24"/>
          <w:szCs w:val="24"/>
          <w:shd w:val="clear" w:color="auto" w:fill="FFFFFF"/>
        </w:rPr>
        <w:t>.</w:t>
      </w:r>
    </w:p>
    <w:p w14:paraId="0EBCCC41" w14:textId="79876439" w:rsidR="00D5295C" w:rsidRDefault="0071516D" w:rsidP="001C3E24">
      <w:pPr>
        <w:spacing w:after="0" w:line="360" w:lineRule="auto"/>
        <w:jc w:val="both"/>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P</w:t>
      </w:r>
      <w:r w:rsidR="003E0826">
        <w:rPr>
          <w:rFonts w:ascii="Arial" w:eastAsia="Calibri" w:hAnsi="Arial" w:cs="Arial"/>
          <w:color w:val="000000"/>
          <w:sz w:val="24"/>
          <w:szCs w:val="24"/>
          <w:shd w:val="clear" w:color="auto" w:fill="FFFFFF"/>
        </w:rPr>
        <w:t xml:space="preserve">or lo expuesto, se puede advertir que el Instituto Nacional de Reforma Agraria INRA, al no considerar y analizar estos indicios </w:t>
      </w:r>
      <w:r w:rsidR="00935229">
        <w:rPr>
          <w:rFonts w:ascii="Arial" w:eastAsia="Calibri" w:hAnsi="Arial" w:cs="Arial"/>
          <w:color w:val="000000"/>
          <w:sz w:val="24"/>
          <w:szCs w:val="24"/>
          <w:shd w:val="clear" w:color="auto" w:fill="FFFFFF"/>
        </w:rPr>
        <w:t>de r</w:t>
      </w:r>
      <w:r w:rsidR="00935229" w:rsidRPr="00935229">
        <w:rPr>
          <w:rFonts w:ascii="Arial" w:eastAsia="Calibri" w:hAnsi="Arial" w:cs="Arial"/>
          <w:color w:val="000000"/>
          <w:sz w:val="24"/>
          <w:szCs w:val="24"/>
          <w:shd w:val="clear" w:color="auto" w:fill="FFFFFF"/>
        </w:rPr>
        <w:t>elaciones servidumbrales</w:t>
      </w:r>
      <w:r w:rsidR="00935229">
        <w:t xml:space="preserve"> </w:t>
      </w:r>
      <w:r w:rsidR="00935229">
        <w:rPr>
          <w:rFonts w:ascii="Arial" w:eastAsia="Calibri" w:hAnsi="Arial" w:cs="Arial"/>
          <w:color w:val="000000"/>
          <w:sz w:val="24"/>
          <w:szCs w:val="24"/>
          <w:shd w:val="clear" w:color="auto" w:fill="FFFFFF"/>
        </w:rPr>
        <w:t xml:space="preserve">en los predios AYACUCHO y AYACUCHO I y al no haber cumplido con lo dispuesto en el art. 157 del Decreto Supremo N° 29215 y el Decreto Supremo N° 388, no </w:t>
      </w:r>
      <w:r w:rsidR="00BE48F1">
        <w:rPr>
          <w:rFonts w:ascii="Arial" w:eastAsia="Calibri" w:hAnsi="Arial" w:cs="Arial"/>
          <w:color w:val="000000"/>
          <w:sz w:val="24"/>
          <w:szCs w:val="24"/>
          <w:shd w:val="clear" w:color="auto" w:fill="FFFFFF"/>
        </w:rPr>
        <w:t>desarrolló</w:t>
      </w:r>
      <w:r w:rsidR="00935229">
        <w:rPr>
          <w:rFonts w:ascii="Arial" w:eastAsia="Calibri" w:hAnsi="Arial" w:cs="Arial"/>
          <w:color w:val="000000"/>
          <w:sz w:val="24"/>
          <w:szCs w:val="24"/>
          <w:shd w:val="clear" w:color="auto" w:fill="FFFFFF"/>
        </w:rPr>
        <w:t xml:space="preserve"> </w:t>
      </w:r>
      <w:r w:rsidR="00935229">
        <w:rPr>
          <w:rFonts w:ascii="Arial" w:eastAsia="Calibri" w:hAnsi="Arial" w:cs="Arial"/>
          <w:color w:val="000000"/>
          <w:sz w:val="24"/>
          <w:szCs w:val="24"/>
          <w:shd w:val="clear" w:color="auto" w:fill="FFFFFF"/>
        </w:rPr>
        <w:lastRenderedPageBreak/>
        <w:t>el proceso administrativo de Saneamiento de la propiedad agraria conforme el ordenamiento jurídico vigente.</w:t>
      </w:r>
    </w:p>
    <w:p w14:paraId="0662C9D5" w14:textId="18D3C1C1" w:rsidR="00820DA6" w:rsidRPr="00CE0B87" w:rsidRDefault="00820DA6" w:rsidP="00D5295C">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FJ.III.2.-</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Identificación de Fraccionamiento Fraudulento. -</w:t>
      </w:r>
    </w:p>
    <w:p w14:paraId="1062A82A" w14:textId="273EE866" w:rsidR="0046136A" w:rsidRPr="00CE0B87" w:rsidRDefault="00820DA6" w:rsidP="00CE0B87">
      <w:pPr>
        <w:spacing w:after="0" w:line="360" w:lineRule="auto"/>
        <w:jc w:val="both"/>
        <w:rPr>
          <w:rFonts w:ascii="Arial" w:eastAsia="Times New Roman" w:hAnsi="Arial" w:cs="Arial"/>
          <w:color w:val="000000"/>
          <w:sz w:val="24"/>
          <w:szCs w:val="24"/>
          <w:lang w:eastAsia="es-BO"/>
        </w:rPr>
      </w:pPr>
      <w:r w:rsidRPr="00CE0B87">
        <w:rPr>
          <w:rFonts w:ascii="Arial" w:eastAsia="Times New Roman" w:hAnsi="Arial" w:cs="Arial"/>
          <w:color w:val="000000"/>
          <w:sz w:val="24"/>
          <w:szCs w:val="24"/>
          <w:lang w:eastAsia="es-BO"/>
        </w:rPr>
        <w:t>De la revisión de los antecedentes de saneamiento, se tiene que por Informe Técnico Leal DDSC-CO I –INF. N° 01869/2015 de 06 de julio de 2015 </w:t>
      </w:r>
      <w:r w:rsidRPr="00CE0B87">
        <w:rPr>
          <w:rFonts w:ascii="Arial" w:eastAsia="Times New Roman" w:hAnsi="Arial" w:cs="Arial"/>
          <w:b/>
          <w:bCs/>
          <w:color w:val="000000"/>
          <w:sz w:val="24"/>
          <w:szCs w:val="24"/>
          <w:lang w:eastAsia="es-BO"/>
        </w:rPr>
        <w:t>(I.5.1.7.)</w:t>
      </w:r>
      <w:r w:rsidRPr="00CE0B87">
        <w:rPr>
          <w:rFonts w:ascii="Arial" w:eastAsia="Times New Roman" w:hAnsi="Arial" w:cs="Arial"/>
          <w:color w:val="000000"/>
          <w:sz w:val="24"/>
          <w:szCs w:val="24"/>
          <w:lang w:eastAsia="es-BO"/>
        </w:rPr>
        <w:t>, se dispone: “</w:t>
      </w:r>
      <w:r w:rsidRPr="00CE0B87">
        <w:rPr>
          <w:rFonts w:ascii="Arial" w:eastAsia="Times New Roman" w:hAnsi="Arial" w:cs="Arial"/>
          <w:i/>
          <w:iCs/>
          <w:color w:val="000000"/>
          <w:sz w:val="24"/>
          <w:szCs w:val="24"/>
          <w:lang w:eastAsia="es-BO"/>
        </w:rPr>
        <w:t>La </w:t>
      </w:r>
      <w:r w:rsidRPr="00CE0B87">
        <w:rPr>
          <w:rFonts w:ascii="Arial" w:eastAsia="Times New Roman" w:hAnsi="Arial" w:cs="Arial"/>
          <w:b/>
          <w:bCs/>
          <w:i/>
          <w:iCs/>
          <w:color w:val="000000"/>
          <w:sz w:val="24"/>
          <w:szCs w:val="24"/>
          <w:lang w:eastAsia="es-BO"/>
        </w:rPr>
        <w:t>NULIDAD</w:t>
      </w:r>
      <w:r w:rsidRPr="00CE0B87">
        <w:rPr>
          <w:rFonts w:ascii="Arial" w:eastAsia="Times New Roman" w:hAnsi="Arial" w:cs="Arial"/>
          <w:i/>
          <w:iCs/>
          <w:color w:val="000000"/>
          <w:sz w:val="24"/>
          <w:szCs w:val="24"/>
          <w:lang w:eastAsia="es-BO"/>
        </w:rPr>
        <w:t> de todo lo actuado hasta el vicio más antiguo es decir hasta el relevamiento de </w:t>
      </w:r>
      <w:r w:rsidRPr="00CE0B87">
        <w:rPr>
          <w:rFonts w:ascii="Arial" w:eastAsia="Times New Roman" w:hAnsi="Arial" w:cs="Arial"/>
          <w:b/>
          <w:bCs/>
          <w:i/>
          <w:iCs/>
          <w:color w:val="000000"/>
          <w:sz w:val="24"/>
          <w:szCs w:val="24"/>
          <w:lang w:eastAsia="es-BO"/>
        </w:rPr>
        <w:t>Información en Campo</w:t>
      </w:r>
      <w:r w:rsidRPr="00CE0B87">
        <w:rPr>
          <w:rFonts w:ascii="Arial" w:eastAsia="Times New Roman" w:hAnsi="Arial" w:cs="Arial"/>
          <w:i/>
          <w:iCs/>
          <w:color w:val="000000"/>
          <w:sz w:val="24"/>
          <w:szCs w:val="24"/>
          <w:lang w:eastAsia="es-BO"/>
        </w:rPr>
        <w:t>, incluidas estas, con respecto a los </w:t>
      </w:r>
      <w:r w:rsidRPr="00CE0B87">
        <w:rPr>
          <w:rFonts w:ascii="Arial" w:eastAsia="Times New Roman" w:hAnsi="Arial" w:cs="Arial"/>
          <w:b/>
          <w:bCs/>
          <w:i/>
          <w:iCs/>
          <w:color w:val="000000"/>
          <w:sz w:val="24"/>
          <w:szCs w:val="24"/>
          <w:lang w:eastAsia="es-BO"/>
        </w:rPr>
        <w:t>predios “AYACUCHO” y “TUNUMA”</w:t>
      </w:r>
      <w:r w:rsidRPr="00CE0B87">
        <w:rPr>
          <w:rFonts w:ascii="Arial" w:eastAsia="Times New Roman" w:hAnsi="Arial" w:cs="Arial"/>
          <w:i/>
          <w:iCs/>
          <w:color w:val="000000"/>
          <w:sz w:val="24"/>
          <w:szCs w:val="24"/>
          <w:lang w:eastAsia="es-BO"/>
        </w:rPr>
        <w:t> que cuenta con una superficie de </w:t>
      </w:r>
      <w:r w:rsidRPr="00CE0B87">
        <w:rPr>
          <w:rFonts w:ascii="Arial" w:eastAsia="Times New Roman" w:hAnsi="Arial" w:cs="Arial"/>
          <w:b/>
          <w:bCs/>
          <w:i/>
          <w:iCs/>
          <w:color w:val="000000"/>
          <w:sz w:val="24"/>
          <w:szCs w:val="24"/>
          <w:lang w:eastAsia="es-BO"/>
        </w:rPr>
        <w:t>9,157.4936 (Nueve mil ciento cincuenta y siete hectáreas con cuatro mil novecientos treinta y seis metros cuadrados), y 1,846.5688 ha (Un mil ochocientos cuarenta y seis hectáreas con cinco mil seiscientos ochenta y ocho metros cuadrados)</w:t>
      </w:r>
      <w:r w:rsidRPr="00CE0B87">
        <w:rPr>
          <w:rFonts w:ascii="Arial" w:eastAsia="Times New Roman" w:hAnsi="Arial" w:cs="Arial"/>
          <w:i/>
          <w:iCs/>
          <w:color w:val="000000"/>
          <w:sz w:val="24"/>
          <w:szCs w:val="24"/>
          <w:lang w:eastAsia="es-BO"/>
        </w:rPr>
        <w:t> respectivamente, correspondiente al municipio de San Rafael, provincia Velasco del departamento de Santa Cruz; por haberse evidenciado errores de fondo y forma </w:t>
      </w:r>
      <w:r w:rsidRPr="00CE0B87">
        <w:rPr>
          <w:rFonts w:ascii="Arial" w:eastAsia="Times New Roman" w:hAnsi="Arial" w:cs="Arial"/>
          <w:b/>
          <w:bCs/>
          <w:i/>
          <w:iCs/>
          <w:color w:val="000000"/>
          <w:sz w:val="24"/>
          <w:szCs w:val="24"/>
          <w:lang w:eastAsia="es-BO"/>
        </w:rPr>
        <w:t xml:space="preserve">(Resolución Determinativa sobrepuesta a áreas de predios titulados y/o con Resolución Final de Saneamiento, Resolución Determinativa e </w:t>
      </w:r>
      <w:proofErr w:type="spellStart"/>
      <w:r w:rsidRPr="00CE0B87">
        <w:rPr>
          <w:rFonts w:ascii="Arial" w:eastAsia="Times New Roman" w:hAnsi="Arial" w:cs="Arial"/>
          <w:b/>
          <w:bCs/>
          <w:i/>
          <w:iCs/>
          <w:color w:val="000000"/>
          <w:sz w:val="24"/>
          <w:szCs w:val="24"/>
          <w:lang w:eastAsia="es-BO"/>
        </w:rPr>
        <w:t>Instructoria</w:t>
      </w:r>
      <w:proofErr w:type="spellEnd"/>
      <w:r w:rsidRPr="00CE0B87">
        <w:rPr>
          <w:rFonts w:ascii="Arial" w:eastAsia="Times New Roman" w:hAnsi="Arial" w:cs="Arial"/>
          <w:b/>
          <w:bCs/>
          <w:i/>
          <w:iCs/>
          <w:color w:val="000000"/>
          <w:sz w:val="24"/>
          <w:szCs w:val="24"/>
          <w:lang w:eastAsia="es-BO"/>
        </w:rPr>
        <w:t xml:space="preserve"> sin firma de Responsable de Unidad, no hay constancia de publicación de Resolución de </w:t>
      </w:r>
      <w:proofErr w:type="spellStart"/>
      <w:r w:rsidRPr="00CE0B87">
        <w:rPr>
          <w:rFonts w:ascii="Arial" w:eastAsia="Times New Roman" w:hAnsi="Arial" w:cs="Arial"/>
          <w:b/>
          <w:bCs/>
          <w:i/>
          <w:iCs/>
          <w:color w:val="000000"/>
          <w:sz w:val="24"/>
          <w:szCs w:val="24"/>
          <w:lang w:eastAsia="es-BO"/>
        </w:rPr>
        <w:t>Instructoria</w:t>
      </w:r>
      <w:proofErr w:type="spellEnd"/>
      <w:r w:rsidRPr="00CE0B87">
        <w:rPr>
          <w:rFonts w:ascii="Arial" w:eastAsia="Times New Roman" w:hAnsi="Arial" w:cs="Arial"/>
          <w:b/>
          <w:bCs/>
          <w:i/>
          <w:iCs/>
          <w:color w:val="000000"/>
          <w:sz w:val="24"/>
          <w:szCs w:val="24"/>
          <w:lang w:eastAsia="es-BO"/>
        </w:rPr>
        <w:t xml:space="preserve"> en radioemisora, no participación de control social en relevamiento de campo, actuados de relevamiento de información en campo con observaciones, incoherencias en Resoluciones de </w:t>
      </w:r>
      <w:proofErr w:type="spellStart"/>
      <w:r w:rsidRPr="00CE0B87">
        <w:rPr>
          <w:rFonts w:ascii="Arial" w:eastAsia="Times New Roman" w:hAnsi="Arial" w:cs="Arial"/>
          <w:b/>
          <w:bCs/>
          <w:i/>
          <w:iCs/>
          <w:color w:val="000000"/>
          <w:sz w:val="24"/>
          <w:szCs w:val="24"/>
          <w:lang w:eastAsia="es-BO"/>
        </w:rPr>
        <w:t>repoligonización</w:t>
      </w:r>
      <w:proofErr w:type="spellEnd"/>
      <w:r w:rsidRPr="00CE0B87">
        <w:rPr>
          <w:rFonts w:ascii="Arial" w:eastAsia="Times New Roman" w:hAnsi="Arial" w:cs="Arial"/>
          <w:b/>
          <w:bCs/>
          <w:i/>
          <w:iCs/>
          <w:color w:val="000000"/>
          <w:sz w:val="24"/>
          <w:szCs w:val="24"/>
          <w:lang w:eastAsia="es-BO"/>
        </w:rPr>
        <w:t xml:space="preserve"> en cuanto a superficie final de polígono 116)</w:t>
      </w:r>
      <w:r w:rsidRPr="00CE0B87">
        <w:rPr>
          <w:rFonts w:ascii="Arial" w:eastAsia="Times New Roman" w:hAnsi="Arial" w:cs="Arial"/>
          <w:i/>
          <w:iCs/>
          <w:color w:val="000000"/>
          <w:sz w:val="24"/>
          <w:szCs w:val="24"/>
          <w:lang w:eastAsia="es-BO"/>
        </w:rPr>
        <w:t> todo ello de conformidad a la Disposición Transitoria Primera y Segunda art. 266 parágrafo IV inc. a) del D. S. N° 29215...”,</w:t>
      </w:r>
      <w:r w:rsidRPr="00CE0B87">
        <w:rPr>
          <w:rFonts w:ascii="Arial" w:eastAsia="Times New Roman" w:hAnsi="Arial" w:cs="Arial"/>
          <w:color w:val="000000"/>
          <w:sz w:val="24"/>
          <w:szCs w:val="24"/>
          <w:lang w:eastAsia="es-BO"/>
        </w:rPr>
        <w:t> Informe éste que da lugar a la emisión de la Resolución Administrativa RES.ADM.RA SS N° 0296/2015 de 07 de julio de 2015</w:t>
      </w:r>
      <w:r w:rsidRPr="00CE0B87">
        <w:rPr>
          <w:rFonts w:ascii="Arial" w:eastAsia="Times New Roman" w:hAnsi="Arial" w:cs="Arial"/>
          <w:b/>
          <w:bCs/>
          <w:color w:val="000000"/>
          <w:sz w:val="24"/>
          <w:szCs w:val="24"/>
          <w:lang w:eastAsia="es-BO"/>
        </w:rPr>
        <w:t> (I.5.1.8.)</w:t>
      </w:r>
      <w:r w:rsidRPr="00CE0B87">
        <w:rPr>
          <w:rFonts w:ascii="Arial" w:eastAsia="Times New Roman" w:hAnsi="Arial" w:cs="Arial"/>
          <w:color w:val="000000"/>
          <w:sz w:val="24"/>
          <w:szCs w:val="24"/>
          <w:lang w:eastAsia="es-BO"/>
        </w:rPr>
        <w:t>, que resuelve anular obrados dentro del proceso de Saneamiento Simple de Oficio hasta el Relevamiento de Información en Campo, por haberse evidenciado errores de fondo y forma con relación a los predios “Ayacucho” y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w:t>
      </w:r>
      <w:r w:rsidR="00ED3AC0">
        <w:rPr>
          <w:rFonts w:ascii="Arial" w:eastAsia="Times New Roman" w:hAnsi="Arial" w:cs="Arial"/>
          <w:color w:val="000000"/>
          <w:sz w:val="24"/>
          <w:szCs w:val="24"/>
          <w:lang w:eastAsia="es-BO"/>
        </w:rPr>
        <w:t>.</w:t>
      </w:r>
      <w:r w:rsidRPr="00CE0B87">
        <w:rPr>
          <w:rFonts w:ascii="Arial" w:eastAsia="Times New Roman" w:hAnsi="Arial" w:cs="Arial"/>
          <w:color w:val="000000"/>
          <w:sz w:val="24"/>
          <w:szCs w:val="24"/>
          <w:lang w:eastAsia="es-BO"/>
        </w:rPr>
        <w:t xml:space="preserve"> </w:t>
      </w:r>
      <w:r w:rsidR="00914E2A" w:rsidRPr="00CE0B87">
        <w:rPr>
          <w:rFonts w:ascii="Arial" w:eastAsia="Times New Roman" w:hAnsi="Arial" w:cs="Arial"/>
          <w:color w:val="000000"/>
          <w:sz w:val="24"/>
          <w:szCs w:val="24"/>
          <w:lang w:eastAsia="es-BO"/>
        </w:rPr>
        <w:t>Posteriormente mediante Resolución Administrativa RES. ADM. RA SS N°0301</w:t>
      </w:r>
      <w:r w:rsidR="006C2C14" w:rsidRPr="00CE0B87">
        <w:rPr>
          <w:rFonts w:ascii="Arial" w:eastAsia="Times New Roman" w:hAnsi="Arial" w:cs="Arial"/>
          <w:color w:val="000000"/>
          <w:sz w:val="24"/>
          <w:szCs w:val="24"/>
          <w:lang w:eastAsia="es-BO"/>
        </w:rPr>
        <w:t xml:space="preserve">/2015 de 16 de julio de 2015 se define como áreas de saneamiento los polígonos Nros. 287, 137 y 138, dándose inicio al proceso de saneamiento en el cual </w:t>
      </w:r>
      <w:r w:rsidRPr="00CE0B87">
        <w:rPr>
          <w:rFonts w:ascii="Arial" w:eastAsia="Times New Roman" w:hAnsi="Arial" w:cs="Arial"/>
          <w:color w:val="000000"/>
          <w:sz w:val="24"/>
          <w:szCs w:val="24"/>
          <w:lang w:eastAsia="es-BO"/>
        </w:rPr>
        <w:t>la parte actora adjunta documentación consistente en documento de Compra Venta de los Derechos de Posesión y Mejoras de una propiedad rústica y aclarativa de 25 de octubre de 2010</w:t>
      </w:r>
      <w:r w:rsidRPr="00CE0B87">
        <w:rPr>
          <w:rFonts w:ascii="Arial" w:eastAsia="Times New Roman" w:hAnsi="Arial" w:cs="Arial"/>
          <w:b/>
          <w:bCs/>
          <w:color w:val="000000"/>
          <w:sz w:val="24"/>
          <w:szCs w:val="24"/>
          <w:lang w:eastAsia="es-BO"/>
        </w:rPr>
        <w:t> (I.5.1.10.)</w:t>
      </w:r>
      <w:r w:rsidRPr="00CE0B87">
        <w:rPr>
          <w:rFonts w:ascii="Arial" w:eastAsia="Times New Roman" w:hAnsi="Arial" w:cs="Arial"/>
          <w:color w:val="000000"/>
          <w:sz w:val="24"/>
          <w:szCs w:val="24"/>
          <w:lang w:eastAsia="es-BO"/>
        </w:rPr>
        <w:t xml:space="preserve">, suscrita entre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y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en la que aclaran que la extensión superficial de 4.650  ha, denominada “Ayacucho</w:t>
      </w:r>
      <w:r w:rsidR="00C06B89">
        <w:rPr>
          <w:rFonts w:ascii="Arial" w:eastAsia="Times New Roman" w:hAnsi="Arial" w:cs="Arial"/>
          <w:color w:val="000000"/>
          <w:sz w:val="24"/>
          <w:szCs w:val="24"/>
          <w:lang w:eastAsia="es-BO"/>
        </w:rPr>
        <w:t xml:space="preserve"> I</w:t>
      </w:r>
      <w:r w:rsidRPr="00CE0B87">
        <w:rPr>
          <w:rFonts w:ascii="Arial" w:eastAsia="Times New Roman" w:hAnsi="Arial" w:cs="Arial"/>
          <w:color w:val="000000"/>
          <w:sz w:val="24"/>
          <w:szCs w:val="24"/>
          <w:lang w:eastAsia="es-BO"/>
        </w:rPr>
        <w:t xml:space="preserve">” queda en posesión de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y las restantes 4.725 ha denominada “Ayacucho”, queda en posesión legal de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(misma documental que es presentada </w:t>
      </w:r>
      <w:r w:rsidRPr="00CE0B87">
        <w:rPr>
          <w:rFonts w:ascii="Arial" w:eastAsia="Times New Roman" w:hAnsi="Arial" w:cs="Arial"/>
          <w:color w:val="000000"/>
          <w:sz w:val="24"/>
          <w:szCs w:val="24"/>
          <w:lang w:eastAsia="es-BO"/>
        </w:rPr>
        <w:lastRenderedPageBreak/>
        <w:t xml:space="preserve">por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cursante de fs.</w:t>
      </w:r>
      <w:r w:rsidR="006C2C14" w:rsidRPr="00CE0B87">
        <w:rPr>
          <w:rFonts w:ascii="Arial" w:eastAsia="Times New Roman" w:hAnsi="Arial" w:cs="Arial"/>
          <w:color w:val="000000"/>
          <w:sz w:val="24"/>
          <w:szCs w:val="24"/>
          <w:lang w:eastAsia="es-BO"/>
        </w:rPr>
        <w:t xml:space="preserve"> 863 a 864)</w:t>
      </w:r>
      <w:r w:rsidRPr="00CE0B87">
        <w:rPr>
          <w:rFonts w:ascii="Arial" w:eastAsia="Times New Roman" w:hAnsi="Arial" w:cs="Arial"/>
          <w:b/>
          <w:bCs/>
          <w:color w:val="000000"/>
          <w:sz w:val="24"/>
          <w:szCs w:val="24"/>
          <w:lang w:eastAsia="es-BO"/>
        </w:rPr>
        <w:t>,</w:t>
      </w:r>
      <w:r w:rsidR="006C2C14" w:rsidRPr="00CE0B87">
        <w:rPr>
          <w:rFonts w:ascii="Arial" w:eastAsia="Times New Roman" w:hAnsi="Arial" w:cs="Arial"/>
          <w:b/>
          <w:bCs/>
          <w:color w:val="000000"/>
          <w:sz w:val="24"/>
          <w:szCs w:val="24"/>
          <w:lang w:eastAsia="es-BO"/>
        </w:rPr>
        <w:t xml:space="preserve"> </w:t>
      </w:r>
      <w:r w:rsidR="006C2C14" w:rsidRPr="00CE0B87">
        <w:rPr>
          <w:rFonts w:ascii="Arial" w:eastAsia="Times New Roman" w:hAnsi="Arial" w:cs="Arial"/>
          <w:bCs/>
          <w:color w:val="000000"/>
          <w:sz w:val="24"/>
          <w:szCs w:val="24"/>
          <w:lang w:eastAsia="es-BO"/>
        </w:rPr>
        <w:t>llegándose a emitir el informe en conclusiones de 30 de octubre de 2015</w:t>
      </w:r>
      <w:r w:rsidR="003B0941" w:rsidRPr="00CE0B87">
        <w:rPr>
          <w:rFonts w:ascii="Arial" w:eastAsia="Times New Roman" w:hAnsi="Arial" w:cs="Arial"/>
          <w:bCs/>
          <w:color w:val="000000"/>
          <w:sz w:val="24"/>
          <w:szCs w:val="24"/>
          <w:lang w:eastAsia="es-BO"/>
        </w:rPr>
        <w:t xml:space="preserve"> (</w:t>
      </w:r>
      <w:r w:rsidR="003B0941" w:rsidRPr="00CE0B87">
        <w:rPr>
          <w:rFonts w:ascii="Arial" w:eastAsia="Times New Roman" w:hAnsi="Arial" w:cs="Arial"/>
          <w:b/>
          <w:bCs/>
          <w:color w:val="000000"/>
          <w:sz w:val="24"/>
          <w:szCs w:val="24"/>
          <w:lang w:eastAsia="es-BO"/>
        </w:rPr>
        <w:t>I.5.1.19). </w:t>
      </w:r>
      <w:r w:rsidR="006C2C14" w:rsidRPr="00CE0B87">
        <w:rPr>
          <w:rFonts w:ascii="Arial" w:eastAsia="Times New Roman" w:hAnsi="Arial" w:cs="Arial"/>
          <w:bCs/>
          <w:color w:val="000000"/>
          <w:sz w:val="24"/>
          <w:szCs w:val="24"/>
          <w:lang w:eastAsia="es-BO"/>
        </w:rPr>
        <w:t xml:space="preserve">, donde se sugiere adjudicar a favor de </w:t>
      </w:r>
      <w:proofErr w:type="spellStart"/>
      <w:r w:rsidR="006C2C14" w:rsidRPr="00CE0B87">
        <w:rPr>
          <w:rFonts w:ascii="Arial" w:eastAsia="Times New Roman" w:hAnsi="Arial" w:cs="Arial"/>
          <w:bCs/>
          <w:color w:val="000000"/>
          <w:sz w:val="24"/>
          <w:szCs w:val="24"/>
          <w:lang w:eastAsia="es-BO"/>
        </w:rPr>
        <w:t>Ayako</w:t>
      </w:r>
      <w:proofErr w:type="spellEnd"/>
      <w:r w:rsidR="006C2C14" w:rsidRPr="00CE0B87">
        <w:rPr>
          <w:rFonts w:ascii="Arial" w:eastAsia="Times New Roman" w:hAnsi="Arial" w:cs="Arial"/>
          <w:bCs/>
          <w:color w:val="000000"/>
          <w:sz w:val="24"/>
          <w:szCs w:val="24"/>
          <w:lang w:eastAsia="es-BO"/>
        </w:rPr>
        <w:t xml:space="preserve"> Cecilia </w:t>
      </w:r>
      <w:proofErr w:type="spellStart"/>
      <w:r w:rsidR="006C2C14" w:rsidRPr="00CE0B87">
        <w:rPr>
          <w:rFonts w:ascii="Arial" w:eastAsia="Times New Roman" w:hAnsi="Arial" w:cs="Arial"/>
          <w:bCs/>
          <w:color w:val="000000"/>
          <w:sz w:val="24"/>
          <w:szCs w:val="24"/>
          <w:lang w:eastAsia="es-BO"/>
        </w:rPr>
        <w:t>Kochi</w:t>
      </w:r>
      <w:proofErr w:type="spellEnd"/>
      <w:r w:rsidR="006C2C14" w:rsidRPr="00CE0B87">
        <w:rPr>
          <w:rFonts w:ascii="Arial" w:eastAsia="Times New Roman" w:hAnsi="Arial" w:cs="Arial"/>
          <w:bCs/>
          <w:color w:val="000000"/>
          <w:sz w:val="24"/>
          <w:szCs w:val="24"/>
          <w:lang w:eastAsia="es-BO"/>
        </w:rPr>
        <w:t xml:space="preserve"> de </w:t>
      </w:r>
      <w:proofErr w:type="spellStart"/>
      <w:r w:rsidR="006C2C14" w:rsidRPr="00CE0B87">
        <w:rPr>
          <w:rFonts w:ascii="Arial" w:eastAsia="Times New Roman" w:hAnsi="Arial" w:cs="Arial"/>
          <w:bCs/>
          <w:color w:val="000000"/>
          <w:sz w:val="24"/>
          <w:szCs w:val="24"/>
          <w:lang w:eastAsia="es-BO"/>
        </w:rPr>
        <w:t>Maeshiro</w:t>
      </w:r>
      <w:proofErr w:type="spellEnd"/>
      <w:r w:rsidR="006C2C14" w:rsidRPr="00CE0B87">
        <w:rPr>
          <w:rFonts w:ascii="Arial" w:eastAsia="Times New Roman" w:hAnsi="Arial" w:cs="Arial"/>
          <w:bCs/>
          <w:color w:val="000000"/>
          <w:sz w:val="24"/>
          <w:szCs w:val="24"/>
          <w:lang w:eastAsia="es-BO"/>
        </w:rPr>
        <w:t xml:space="preserve">, </w:t>
      </w:r>
      <w:proofErr w:type="spellStart"/>
      <w:r w:rsidR="006C2C14" w:rsidRPr="00CE0B87">
        <w:rPr>
          <w:rFonts w:ascii="Arial" w:eastAsia="Times New Roman" w:hAnsi="Arial" w:cs="Arial"/>
          <w:bCs/>
          <w:color w:val="000000"/>
          <w:sz w:val="24"/>
          <w:szCs w:val="24"/>
          <w:lang w:eastAsia="es-BO"/>
        </w:rPr>
        <w:t>Noriko</w:t>
      </w:r>
      <w:proofErr w:type="spellEnd"/>
      <w:r w:rsidR="006C2C14" w:rsidRPr="00CE0B87">
        <w:rPr>
          <w:rFonts w:ascii="Arial" w:eastAsia="Times New Roman" w:hAnsi="Arial" w:cs="Arial"/>
          <w:bCs/>
          <w:color w:val="000000"/>
          <w:sz w:val="24"/>
          <w:szCs w:val="24"/>
          <w:lang w:eastAsia="es-BO"/>
        </w:rPr>
        <w:t xml:space="preserve"> </w:t>
      </w:r>
      <w:proofErr w:type="spellStart"/>
      <w:r w:rsidR="006C2C14" w:rsidRPr="00CE0B87">
        <w:rPr>
          <w:rFonts w:ascii="Arial" w:eastAsia="Times New Roman" w:hAnsi="Arial" w:cs="Arial"/>
          <w:bCs/>
          <w:color w:val="000000"/>
          <w:sz w:val="24"/>
          <w:szCs w:val="24"/>
          <w:lang w:eastAsia="es-BO"/>
        </w:rPr>
        <w:t>Kochi</w:t>
      </w:r>
      <w:proofErr w:type="spellEnd"/>
      <w:r w:rsidR="006C2C14" w:rsidRPr="00CE0B87">
        <w:rPr>
          <w:rFonts w:ascii="Arial" w:eastAsia="Times New Roman" w:hAnsi="Arial" w:cs="Arial"/>
          <w:bCs/>
          <w:color w:val="000000"/>
          <w:sz w:val="24"/>
          <w:szCs w:val="24"/>
          <w:lang w:eastAsia="es-BO"/>
        </w:rPr>
        <w:t xml:space="preserve"> de </w:t>
      </w:r>
      <w:proofErr w:type="spellStart"/>
      <w:r w:rsidR="006C2C14" w:rsidRPr="00CE0B87">
        <w:rPr>
          <w:rFonts w:ascii="Arial" w:eastAsia="Times New Roman" w:hAnsi="Arial" w:cs="Arial"/>
          <w:bCs/>
          <w:color w:val="000000"/>
          <w:sz w:val="24"/>
          <w:szCs w:val="24"/>
          <w:lang w:eastAsia="es-BO"/>
        </w:rPr>
        <w:t>Kuniyoshi</w:t>
      </w:r>
      <w:proofErr w:type="spellEnd"/>
      <w:r w:rsidR="006C2C14" w:rsidRPr="00CE0B87">
        <w:rPr>
          <w:rFonts w:ascii="Arial" w:eastAsia="Times New Roman" w:hAnsi="Arial" w:cs="Arial"/>
          <w:bCs/>
          <w:color w:val="000000"/>
          <w:sz w:val="24"/>
          <w:szCs w:val="24"/>
          <w:lang w:eastAsia="es-BO"/>
        </w:rPr>
        <w:t xml:space="preserve">, Diana </w:t>
      </w:r>
      <w:proofErr w:type="spellStart"/>
      <w:r w:rsidR="006C2C14" w:rsidRPr="00CE0B87">
        <w:rPr>
          <w:rFonts w:ascii="Arial" w:eastAsia="Times New Roman" w:hAnsi="Arial" w:cs="Arial"/>
          <w:bCs/>
          <w:color w:val="000000"/>
          <w:sz w:val="24"/>
          <w:szCs w:val="24"/>
          <w:lang w:eastAsia="es-BO"/>
        </w:rPr>
        <w:t>Maeshiro</w:t>
      </w:r>
      <w:proofErr w:type="spellEnd"/>
      <w:r w:rsidR="006C2C14" w:rsidRPr="00CE0B87">
        <w:rPr>
          <w:rFonts w:ascii="Arial" w:eastAsia="Times New Roman" w:hAnsi="Arial" w:cs="Arial"/>
          <w:bCs/>
          <w:color w:val="000000"/>
          <w:sz w:val="24"/>
          <w:szCs w:val="24"/>
          <w:lang w:eastAsia="es-BO"/>
        </w:rPr>
        <w:t xml:space="preserve"> </w:t>
      </w:r>
      <w:proofErr w:type="spellStart"/>
      <w:r w:rsidR="006C2C14" w:rsidRPr="00CE0B87">
        <w:rPr>
          <w:rFonts w:ascii="Arial" w:eastAsia="Times New Roman" w:hAnsi="Arial" w:cs="Arial"/>
          <w:bCs/>
          <w:color w:val="000000"/>
          <w:sz w:val="24"/>
          <w:szCs w:val="24"/>
          <w:lang w:eastAsia="es-BO"/>
        </w:rPr>
        <w:t>Kochi</w:t>
      </w:r>
      <w:proofErr w:type="spellEnd"/>
      <w:r w:rsidR="006C2C14" w:rsidRPr="00CE0B87">
        <w:rPr>
          <w:rFonts w:ascii="Arial" w:eastAsia="Times New Roman" w:hAnsi="Arial" w:cs="Arial"/>
          <w:bCs/>
          <w:color w:val="000000"/>
          <w:sz w:val="24"/>
          <w:szCs w:val="24"/>
          <w:lang w:eastAsia="es-BO"/>
        </w:rPr>
        <w:t xml:space="preserve"> y </w:t>
      </w:r>
      <w:proofErr w:type="spellStart"/>
      <w:r w:rsidR="006C2C14" w:rsidRPr="00CE0B87">
        <w:rPr>
          <w:rFonts w:ascii="Arial" w:eastAsia="Times New Roman" w:hAnsi="Arial" w:cs="Arial"/>
          <w:bCs/>
          <w:color w:val="000000"/>
          <w:sz w:val="24"/>
          <w:szCs w:val="24"/>
          <w:lang w:eastAsia="es-BO"/>
        </w:rPr>
        <w:t>Joaquin</w:t>
      </w:r>
      <w:proofErr w:type="spellEnd"/>
      <w:r w:rsidR="006C2C14" w:rsidRPr="00CE0B87">
        <w:rPr>
          <w:rFonts w:ascii="Arial" w:eastAsia="Times New Roman" w:hAnsi="Arial" w:cs="Arial"/>
          <w:bCs/>
          <w:color w:val="000000"/>
          <w:sz w:val="24"/>
          <w:szCs w:val="24"/>
          <w:lang w:eastAsia="es-BO"/>
        </w:rPr>
        <w:t xml:space="preserve"> </w:t>
      </w:r>
      <w:proofErr w:type="spellStart"/>
      <w:r w:rsidR="006C2C14" w:rsidRPr="00CE0B87">
        <w:rPr>
          <w:rFonts w:ascii="Arial" w:eastAsia="Times New Roman" w:hAnsi="Arial" w:cs="Arial"/>
          <w:bCs/>
          <w:color w:val="000000"/>
          <w:sz w:val="24"/>
          <w:szCs w:val="24"/>
          <w:lang w:eastAsia="es-BO"/>
        </w:rPr>
        <w:t>Eguez</w:t>
      </w:r>
      <w:proofErr w:type="spellEnd"/>
      <w:r w:rsidR="006C2C14" w:rsidRPr="00CE0B87">
        <w:rPr>
          <w:rFonts w:ascii="Arial" w:eastAsia="Times New Roman" w:hAnsi="Arial" w:cs="Arial"/>
          <w:bCs/>
          <w:color w:val="000000"/>
          <w:sz w:val="24"/>
          <w:szCs w:val="24"/>
          <w:lang w:eastAsia="es-BO"/>
        </w:rPr>
        <w:t xml:space="preserve"> </w:t>
      </w:r>
      <w:proofErr w:type="spellStart"/>
      <w:r w:rsidR="006C2C14" w:rsidRPr="00CE0B87">
        <w:rPr>
          <w:rFonts w:ascii="Arial" w:eastAsia="Times New Roman" w:hAnsi="Arial" w:cs="Arial"/>
          <w:bCs/>
          <w:color w:val="000000"/>
          <w:sz w:val="24"/>
          <w:szCs w:val="24"/>
          <w:lang w:eastAsia="es-BO"/>
        </w:rPr>
        <w:t>Pariz</w:t>
      </w:r>
      <w:proofErr w:type="spellEnd"/>
      <w:r w:rsidR="006C2C14" w:rsidRPr="00CE0B87">
        <w:rPr>
          <w:rFonts w:ascii="Arial" w:eastAsia="Times New Roman" w:hAnsi="Arial" w:cs="Arial"/>
          <w:bCs/>
          <w:color w:val="000000"/>
          <w:sz w:val="24"/>
          <w:szCs w:val="24"/>
          <w:lang w:eastAsia="es-BO"/>
        </w:rPr>
        <w:t xml:space="preserve"> </w:t>
      </w:r>
      <w:r w:rsidR="005B51B3" w:rsidRPr="00CE0B87">
        <w:rPr>
          <w:rFonts w:ascii="Arial" w:eastAsia="Times New Roman" w:hAnsi="Arial" w:cs="Arial"/>
          <w:bCs/>
          <w:color w:val="000000"/>
          <w:sz w:val="24"/>
          <w:szCs w:val="24"/>
          <w:lang w:eastAsia="es-BO"/>
        </w:rPr>
        <w:t xml:space="preserve">el predio </w:t>
      </w:r>
      <w:proofErr w:type="spellStart"/>
      <w:r w:rsidR="005B51B3" w:rsidRPr="00CE0B87">
        <w:rPr>
          <w:rFonts w:ascii="Arial" w:eastAsia="Times New Roman" w:hAnsi="Arial" w:cs="Arial"/>
          <w:bCs/>
          <w:color w:val="000000"/>
          <w:sz w:val="24"/>
          <w:szCs w:val="24"/>
          <w:lang w:eastAsia="es-BO"/>
        </w:rPr>
        <w:t>Ayachucho</w:t>
      </w:r>
      <w:proofErr w:type="spellEnd"/>
      <w:r w:rsidR="005B51B3" w:rsidRPr="00CE0B87">
        <w:rPr>
          <w:rFonts w:ascii="Arial" w:eastAsia="Times New Roman" w:hAnsi="Arial" w:cs="Arial"/>
          <w:bCs/>
          <w:color w:val="000000"/>
          <w:sz w:val="24"/>
          <w:szCs w:val="24"/>
          <w:lang w:eastAsia="es-BO"/>
        </w:rPr>
        <w:t xml:space="preserve"> con una superficie de 5.000,0000 ha </w:t>
      </w:r>
      <w:r w:rsidR="0046136A" w:rsidRPr="00CE0B87">
        <w:rPr>
          <w:rFonts w:ascii="Arial" w:eastAsia="Times New Roman" w:hAnsi="Arial" w:cs="Arial"/>
          <w:color w:val="000000"/>
          <w:sz w:val="24"/>
          <w:szCs w:val="24"/>
          <w:lang w:eastAsia="es-BO"/>
        </w:rPr>
        <w:t xml:space="preserve">y, declarar Tierra Fiscal la superficie de 4,120.8454 ha, consecuente del recorte del predio “Ayacucho”; </w:t>
      </w:r>
      <w:r w:rsidRPr="00CE0B87">
        <w:rPr>
          <w:rFonts w:ascii="Arial" w:eastAsia="Times New Roman" w:hAnsi="Arial" w:cs="Arial"/>
          <w:color w:val="000000"/>
          <w:sz w:val="24"/>
          <w:szCs w:val="24"/>
          <w:lang w:eastAsia="es-BO"/>
        </w:rPr>
        <w:t>conforme se evidencia del Informe Técnico Legal JRLL-SCN-INF-SAN No 36/2020 de 14 de febrero </w:t>
      </w:r>
      <w:r w:rsidRPr="00CE0B87">
        <w:rPr>
          <w:rFonts w:ascii="Arial" w:eastAsia="Times New Roman" w:hAnsi="Arial" w:cs="Arial"/>
          <w:b/>
          <w:bCs/>
          <w:color w:val="000000"/>
          <w:sz w:val="24"/>
          <w:szCs w:val="24"/>
          <w:lang w:eastAsia="es-BO"/>
        </w:rPr>
        <w:t>(I.5.1.2</w:t>
      </w:r>
      <w:r w:rsidR="0046136A" w:rsidRPr="00CE0B87">
        <w:rPr>
          <w:rFonts w:ascii="Arial" w:eastAsia="Times New Roman" w:hAnsi="Arial" w:cs="Arial"/>
          <w:b/>
          <w:bCs/>
          <w:color w:val="000000"/>
          <w:sz w:val="24"/>
          <w:szCs w:val="24"/>
          <w:lang w:eastAsia="es-BO"/>
        </w:rPr>
        <w:t>0</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 de cuyo Análisis Técnico Legal, modifica las conclusiones y sugerencias del Informe en Conclusiones de 30 de octubre de 2015 </w:t>
      </w:r>
      <w:r w:rsidRPr="00CE0B87">
        <w:rPr>
          <w:rFonts w:ascii="Arial" w:eastAsia="Times New Roman" w:hAnsi="Arial" w:cs="Arial"/>
          <w:b/>
          <w:bCs/>
          <w:color w:val="000000"/>
          <w:sz w:val="24"/>
          <w:szCs w:val="24"/>
          <w:lang w:eastAsia="es-BO"/>
        </w:rPr>
        <w:t>(I.5.1.</w:t>
      </w:r>
      <w:r w:rsidR="0046136A" w:rsidRPr="00CE0B87">
        <w:rPr>
          <w:rFonts w:ascii="Arial" w:eastAsia="Times New Roman" w:hAnsi="Arial" w:cs="Arial"/>
          <w:b/>
          <w:bCs/>
          <w:color w:val="000000"/>
          <w:sz w:val="24"/>
          <w:szCs w:val="24"/>
          <w:lang w:eastAsia="es-BO"/>
        </w:rPr>
        <w:t>19</w:t>
      </w:r>
      <w:r w:rsidRPr="00CE0B87">
        <w:rPr>
          <w:rFonts w:ascii="Arial" w:eastAsia="Times New Roman" w:hAnsi="Arial" w:cs="Arial"/>
          <w:b/>
          <w:bCs/>
          <w:color w:val="000000"/>
          <w:sz w:val="24"/>
          <w:szCs w:val="24"/>
          <w:lang w:eastAsia="es-BO"/>
        </w:rPr>
        <w:t>.)</w:t>
      </w:r>
      <w:r w:rsidRPr="00CE0B87">
        <w:rPr>
          <w:rFonts w:ascii="Arial" w:eastAsia="Times New Roman" w:hAnsi="Arial" w:cs="Arial"/>
          <w:color w:val="000000"/>
          <w:sz w:val="24"/>
          <w:szCs w:val="24"/>
          <w:lang w:eastAsia="es-BO"/>
        </w:rPr>
        <w:t>, que refiere en su parte pertinente, que: </w:t>
      </w:r>
      <w:r w:rsidRPr="00CE0B87">
        <w:rPr>
          <w:rFonts w:ascii="Arial" w:eastAsia="Times New Roman" w:hAnsi="Arial" w:cs="Arial"/>
          <w:i/>
          <w:iCs/>
          <w:color w:val="000000"/>
          <w:sz w:val="24"/>
          <w:szCs w:val="24"/>
          <w:lang w:eastAsia="es-BO"/>
        </w:rPr>
        <w:t>“….Consecuentemente la relación que se tiene de los antecedentes agrarios señalados, con los actuales beneficiarios, AYAKO CECILIA KOCHI DE MAESHIRO, DIANA MAESHIRO KOCHI Y NORIKO KOCHI DE KUIYOSHI, al haber adquirido la parcela de terreno con la superficie de 4.725 ha (Cuatro hectáreas con setecientos veinticinco metros cuadrados), del Señor JOAQUIN EGUEZ PARÍS mediante documento de transferencia de fecha 07 de mayo de 1994, dicha transferencia demuestra que si </w:t>
      </w:r>
      <w:r w:rsidRPr="00CE0B87">
        <w:rPr>
          <w:rFonts w:ascii="Arial" w:eastAsia="Times New Roman" w:hAnsi="Arial" w:cs="Arial"/>
          <w:b/>
          <w:bCs/>
          <w:i/>
          <w:iCs/>
          <w:color w:val="000000"/>
          <w:sz w:val="24"/>
          <w:szCs w:val="24"/>
          <w:u w:val="single"/>
          <w:lang w:eastAsia="es-BO"/>
        </w:rPr>
        <w:t>ACREDITAN TRADICIÓN CIVIL DEL DERECHO PROPIETARIO QUE LOS VINCULA CON EL TITULAR INICIAL</w:t>
      </w:r>
      <w:r w:rsidRPr="00CE0B87">
        <w:rPr>
          <w:rFonts w:ascii="Arial" w:eastAsia="Times New Roman" w:hAnsi="Arial" w:cs="Arial"/>
          <w:i/>
          <w:iCs/>
          <w:color w:val="000000"/>
          <w:sz w:val="24"/>
          <w:szCs w:val="24"/>
          <w:lang w:eastAsia="es-BO"/>
        </w:rPr>
        <w:t>; por lo que corresponde emitir Resolución conjunta con el siguiente alcance: Anulatoria, </w:t>
      </w:r>
      <w:r w:rsidRPr="00CE0B87">
        <w:rPr>
          <w:rFonts w:ascii="Arial" w:eastAsia="Times New Roman" w:hAnsi="Arial" w:cs="Arial"/>
          <w:i/>
          <w:iCs/>
          <w:color w:val="000000"/>
          <w:sz w:val="24"/>
          <w:szCs w:val="24"/>
          <w:u w:val="single"/>
          <w:lang w:eastAsia="es-BO"/>
        </w:rPr>
        <w:t>Vía Conversión y Adjudicación, tanto para el predio Ayacucho como para el predio Ayacucho I</w:t>
      </w:r>
      <w:r w:rsidRPr="00CE0B87">
        <w:rPr>
          <w:rFonts w:ascii="Arial" w:eastAsia="Times New Roman" w:hAnsi="Arial" w:cs="Arial"/>
          <w:color w:val="000000"/>
          <w:sz w:val="24"/>
          <w:szCs w:val="24"/>
          <w:lang w:eastAsia="es-BO"/>
        </w:rPr>
        <w:t xml:space="preserve">…”, es decir, se valoró </w:t>
      </w:r>
      <w:r w:rsidR="0046136A" w:rsidRPr="00CE0B87">
        <w:rPr>
          <w:rFonts w:ascii="Arial" w:eastAsia="Times New Roman" w:hAnsi="Arial" w:cs="Arial"/>
          <w:color w:val="000000"/>
          <w:sz w:val="24"/>
          <w:szCs w:val="24"/>
          <w:lang w:eastAsia="es-BO"/>
        </w:rPr>
        <w:t>los</w:t>
      </w:r>
      <w:r w:rsidRPr="00CE0B87">
        <w:rPr>
          <w:rFonts w:ascii="Arial" w:eastAsia="Times New Roman" w:hAnsi="Arial" w:cs="Arial"/>
          <w:color w:val="000000"/>
          <w:sz w:val="24"/>
          <w:szCs w:val="24"/>
          <w:lang w:eastAsia="es-BO"/>
        </w:rPr>
        <w:t xml:space="preserve"> documento</w:t>
      </w:r>
      <w:r w:rsidR="0046136A" w:rsidRPr="00CE0B87">
        <w:rPr>
          <w:rFonts w:ascii="Arial" w:eastAsia="Times New Roman" w:hAnsi="Arial" w:cs="Arial"/>
          <w:color w:val="000000"/>
          <w:sz w:val="24"/>
          <w:szCs w:val="24"/>
          <w:lang w:eastAsia="es-BO"/>
        </w:rPr>
        <w:t>s</w:t>
      </w:r>
      <w:r w:rsidRPr="00CE0B87">
        <w:rPr>
          <w:rFonts w:ascii="Arial" w:eastAsia="Times New Roman" w:hAnsi="Arial" w:cs="Arial"/>
          <w:color w:val="000000"/>
          <w:sz w:val="24"/>
          <w:szCs w:val="24"/>
          <w:lang w:eastAsia="es-BO"/>
        </w:rPr>
        <w:t xml:space="preserve"> de transferencia</w:t>
      </w:r>
      <w:r w:rsidR="0046136A" w:rsidRPr="00CE0B87">
        <w:rPr>
          <w:rFonts w:ascii="Arial" w:eastAsia="Times New Roman" w:hAnsi="Arial" w:cs="Arial"/>
          <w:color w:val="000000"/>
          <w:sz w:val="24"/>
          <w:szCs w:val="24"/>
          <w:lang w:eastAsia="es-BO"/>
        </w:rPr>
        <w:t>s</w:t>
      </w:r>
      <w:r w:rsidRPr="00CE0B87">
        <w:rPr>
          <w:rFonts w:ascii="Arial" w:eastAsia="Times New Roman" w:hAnsi="Arial" w:cs="Arial"/>
          <w:color w:val="000000"/>
          <w:sz w:val="24"/>
          <w:szCs w:val="24"/>
          <w:lang w:eastAsia="es-BO"/>
        </w:rPr>
        <w:t xml:space="preserve"> de 07 de mayo de 1994, como el Testimonio de Medida Preparatoria de reconocimiento de firmas, seguido por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contra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w:t>
      </w:r>
      <w:r w:rsidRPr="00CE0B87">
        <w:rPr>
          <w:rFonts w:ascii="Arial" w:eastAsia="Times New Roman" w:hAnsi="Arial" w:cs="Arial"/>
          <w:b/>
          <w:bCs/>
          <w:color w:val="000000"/>
          <w:sz w:val="24"/>
          <w:szCs w:val="24"/>
          <w:lang w:eastAsia="es-BO"/>
        </w:rPr>
        <w:t> (I.5.1.1.)</w:t>
      </w:r>
      <w:r w:rsidRPr="00CE0B87">
        <w:rPr>
          <w:rFonts w:ascii="Arial" w:eastAsia="Times New Roman" w:hAnsi="Arial" w:cs="Arial"/>
          <w:color w:val="000000"/>
          <w:sz w:val="24"/>
          <w:szCs w:val="24"/>
          <w:lang w:eastAsia="es-BO"/>
        </w:rPr>
        <w:t>, con relación a un </w:t>
      </w:r>
      <w:r w:rsidRPr="00CE0B87">
        <w:rPr>
          <w:rFonts w:ascii="Arial" w:eastAsia="Times New Roman" w:hAnsi="Arial" w:cs="Arial"/>
          <w:b/>
          <w:bCs/>
          <w:color w:val="000000"/>
          <w:sz w:val="24"/>
          <w:szCs w:val="24"/>
          <w:lang w:eastAsia="es-BO"/>
        </w:rPr>
        <w:t>documento privado de compra y venta de derecho de posesión y mejoras de la propiedad rústica “Ayacucho I” de 07 de mayo de 1994, en una superficie total de 1904.9498 ha (I.5.1.4.)</w:t>
      </w:r>
      <w:r w:rsidRPr="00CE0B87">
        <w:rPr>
          <w:rFonts w:ascii="Arial" w:eastAsia="Times New Roman" w:hAnsi="Arial" w:cs="Arial"/>
          <w:color w:val="000000"/>
          <w:sz w:val="24"/>
          <w:szCs w:val="24"/>
          <w:lang w:eastAsia="es-BO"/>
        </w:rPr>
        <w:t xml:space="preserve">; Testimonio relativo al proceso de medida preparatoria de reconocimiento de firmas, seguido por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contra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w:t>
      </w:r>
      <w:r w:rsidRPr="00CE0B87">
        <w:rPr>
          <w:rFonts w:ascii="Arial" w:eastAsia="Times New Roman" w:hAnsi="Arial" w:cs="Arial"/>
          <w:b/>
          <w:bCs/>
          <w:color w:val="000000"/>
          <w:sz w:val="24"/>
          <w:szCs w:val="24"/>
          <w:lang w:eastAsia="es-BO"/>
        </w:rPr>
        <w:t> (I.5.1.2.)</w:t>
      </w:r>
      <w:r w:rsidRPr="00CE0B87">
        <w:rPr>
          <w:rFonts w:ascii="Arial" w:eastAsia="Times New Roman" w:hAnsi="Arial" w:cs="Arial"/>
          <w:color w:val="000000"/>
          <w:sz w:val="24"/>
          <w:szCs w:val="24"/>
          <w:lang w:eastAsia="es-BO"/>
        </w:rPr>
        <w:t>, con relación a un contrato privado de venta de posesión y mejoras introducidas en la propiedad rústica denominada “Ayacucho II”, sobre una extensión de 2479.7699 ha, de 19 de mayo de 1994 </w:t>
      </w:r>
      <w:r w:rsidRPr="00CE0B87">
        <w:rPr>
          <w:rFonts w:ascii="Arial" w:eastAsia="Times New Roman" w:hAnsi="Arial" w:cs="Arial"/>
          <w:b/>
          <w:bCs/>
          <w:color w:val="000000"/>
          <w:sz w:val="24"/>
          <w:szCs w:val="24"/>
          <w:lang w:eastAsia="es-BO"/>
        </w:rPr>
        <w:t>(I.5.1.6.) </w:t>
      </w:r>
      <w:r w:rsidRPr="00CE0B87">
        <w:rPr>
          <w:rFonts w:ascii="Arial" w:eastAsia="Times New Roman" w:hAnsi="Arial" w:cs="Arial"/>
          <w:color w:val="000000"/>
          <w:sz w:val="24"/>
          <w:szCs w:val="24"/>
          <w:lang w:eastAsia="es-BO"/>
        </w:rPr>
        <w:t xml:space="preserve">y Testimonio con relación a un proceso de medida preparatoria de reconocimiento de firmas, seguido por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contra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w:t>
      </w:r>
      <w:r w:rsidRPr="00CE0B87">
        <w:rPr>
          <w:rFonts w:ascii="Arial" w:eastAsia="Times New Roman" w:hAnsi="Arial" w:cs="Arial"/>
          <w:b/>
          <w:bCs/>
          <w:color w:val="000000"/>
          <w:sz w:val="24"/>
          <w:szCs w:val="24"/>
          <w:lang w:eastAsia="es-BO"/>
        </w:rPr>
        <w:t>(I.5.1.3.)</w:t>
      </w:r>
      <w:r w:rsidRPr="00CE0B87">
        <w:rPr>
          <w:rFonts w:ascii="Arial" w:eastAsia="Times New Roman" w:hAnsi="Arial" w:cs="Arial"/>
          <w:color w:val="000000"/>
          <w:sz w:val="24"/>
          <w:szCs w:val="24"/>
          <w:lang w:eastAsia="es-BO"/>
        </w:rPr>
        <w:t>, respecto al documento privado de compra y venta de derecho y posesión y mejoras de la propiedad rústica “Ayacucho III”</w:t>
      </w:r>
      <w:r w:rsidRPr="00CE0B87">
        <w:rPr>
          <w:rFonts w:ascii="Arial" w:eastAsia="Times New Roman" w:hAnsi="Arial" w:cs="Arial"/>
          <w:b/>
          <w:bCs/>
          <w:color w:val="000000"/>
          <w:sz w:val="24"/>
          <w:szCs w:val="24"/>
          <w:lang w:eastAsia="es-BO"/>
        </w:rPr>
        <w:t> (I.5.1.5.),</w:t>
      </w:r>
      <w:r w:rsidRPr="00CE0B87">
        <w:rPr>
          <w:rFonts w:ascii="Arial" w:eastAsia="Times New Roman" w:hAnsi="Arial" w:cs="Arial"/>
          <w:color w:val="000000"/>
          <w:sz w:val="24"/>
          <w:szCs w:val="24"/>
          <w:lang w:eastAsia="es-BO"/>
        </w:rPr>
        <w:t xml:space="preserve"> suscrito el 30 de mayo de 1994, con una superficie de 2607.1499 ha; </w:t>
      </w:r>
    </w:p>
    <w:p w14:paraId="00143988"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 xml:space="preserve">Asimismo, es importante precisar que los documentos de compra y venta citados precedentemente realizados en 1994 por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a favor de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Kuniyoshi</w:t>
      </w:r>
      <w:proofErr w:type="spellEnd"/>
      <w:r w:rsidRPr="00CE0B87">
        <w:rPr>
          <w:rFonts w:ascii="Arial" w:eastAsia="Times New Roman" w:hAnsi="Arial" w:cs="Arial"/>
          <w:color w:val="000000"/>
          <w:sz w:val="24"/>
          <w:szCs w:val="24"/>
          <w:lang w:eastAsia="es-BO"/>
        </w:rPr>
        <w:t xml:space="preserve">, hace </w:t>
      </w:r>
      <w:r w:rsidRPr="00CE0B87">
        <w:rPr>
          <w:rFonts w:ascii="Arial" w:eastAsia="Times New Roman" w:hAnsi="Arial" w:cs="Arial"/>
          <w:color w:val="000000"/>
          <w:sz w:val="24"/>
          <w:szCs w:val="24"/>
          <w:lang w:eastAsia="es-BO"/>
        </w:rPr>
        <w:lastRenderedPageBreak/>
        <w:t xml:space="preserve">relación al </w:t>
      </w:r>
      <w:proofErr w:type="spellStart"/>
      <w:r w:rsidRPr="00CE0B87">
        <w:rPr>
          <w:rFonts w:ascii="Arial" w:eastAsia="Times New Roman" w:hAnsi="Arial" w:cs="Arial"/>
          <w:color w:val="000000"/>
          <w:sz w:val="24"/>
          <w:szCs w:val="24"/>
          <w:lang w:eastAsia="es-BO"/>
        </w:rPr>
        <w:t>Exp</w:t>
      </w:r>
      <w:proofErr w:type="spellEnd"/>
      <w:r w:rsidRPr="00CE0B87">
        <w:rPr>
          <w:rFonts w:ascii="Arial" w:eastAsia="Times New Roman" w:hAnsi="Arial" w:cs="Arial"/>
          <w:color w:val="000000"/>
          <w:sz w:val="24"/>
          <w:szCs w:val="24"/>
          <w:lang w:eastAsia="es-BO"/>
        </w:rPr>
        <w:t>. 58128, cuyo antecedente agrario tiene una superficie de 7003,7850 ha, que sumadas las superficies transferidas darían más o menos 6991,8696 ha, antecedente que conforme el Informe en Conclusiones de 30 de octubre de 2015 </w:t>
      </w:r>
      <w:r w:rsidRPr="00CE0B87">
        <w:rPr>
          <w:rFonts w:ascii="Arial" w:eastAsia="Times New Roman" w:hAnsi="Arial" w:cs="Arial"/>
          <w:b/>
          <w:bCs/>
          <w:color w:val="000000"/>
          <w:sz w:val="24"/>
          <w:szCs w:val="24"/>
          <w:lang w:eastAsia="es-BO"/>
        </w:rPr>
        <w:t>(I.5.1.20.) </w:t>
      </w:r>
      <w:r w:rsidRPr="00CE0B87">
        <w:rPr>
          <w:rFonts w:ascii="Arial" w:eastAsia="Times New Roman" w:hAnsi="Arial" w:cs="Arial"/>
          <w:color w:val="000000"/>
          <w:sz w:val="24"/>
          <w:szCs w:val="24"/>
          <w:lang w:eastAsia="es-BO"/>
        </w:rPr>
        <w:t>se encontraría con vicios de nulidad absoluta, no obstante, en el Informe Técnico Legal JRLL-SCN-INF-SAN No 36/2020 de 14 de febrero </w:t>
      </w:r>
      <w:r w:rsidRPr="00CE0B87">
        <w:rPr>
          <w:rFonts w:ascii="Arial" w:eastAsia="Times New Roman" w:hAnsi="Arial" w:cs="Arial"/>
          <w:b/>
          <w:bCs/>
          <w:color w:val="000000"/>
          <w:sz w:val="24"/>
          <w:szCs w:val="24"/>
          <w:lang w:eastAsia="es-BO"/>
        </w:rPr>
        <w:t>(I.5.1.21.) </w:t>
      </w:r>
      <w:r w:rsidRPr="00CE0B87">
        <w:rPr>
          <w:rFonts w:ascii="Arial" w:eastAsia="Times New Roman" w:hAnsi="Arial" w:cs="Arial"/>
          <w:color w:val="000000"/>
          <w:sz w:val="24"/>
          <w:szCs w:val="24"/>
          <w:lang w:eastAsia="es-BO"/>
        </w:rPr>
        <w:t>se</w:t>
      </w:r>
      <w:r w:rsidRPr="00CE0B87">
        <w:rPr>
          <w:rFonts w:ascii="Arial" w:eastAsia="Times New Roman" w:hAnsi="Arial" w:cs="Arial"/>
          <w:b/>
          <w:bCs/>
          <w:color w:val="000000"/>
          <w:sz w:val="24"/>
          <w:szCs w:val="24"/>
          <w:lang w:eastAsia="es-BO"/>
        </w:rPr>
        <w:t> </w:t>
      </w:r>
      <w:r w:rsidRPr="00CE0B87">
        <w:rPr>
          <w:rFonts w:ascii="Arial" w:eastAsia="Times New Roman" w:hAnsi="Arial" w:cs="Arial"/>
          <w:color w:val="000000"/>
          <w:sz w:val="24"/>
          <w:szCs w:val="24"/>
          <w:lang w:eastAsia="es-BO"/>
        </w:rPr>
        <w:t xml:space="preserve">convalida los señalados documentos de transferencia de 1994, haciendo referencia al </w:t>
      </w:r>
      <w:proofErr w:type="spellStart"/>
      <w:r w:rsidRPr="00CE0B87">
        <w:rPr>
          <w:rFonts w:ascii="Arial" w:eastAsia="Times New Roman" w:hAnsi="Arial" w:cs="Arial"/>
          <w:color w:val="000000"/>
          <w:sz w:val="24"/>
          <w:szCs w:val="24"/>
          <w:lang w:eastAsia="es-BO"/>
        </w:rPr>
        <w:t>Exp</w:t>
      </w:r>
      <w:proofErr w:type="spellEnd"/>
      <w:r w:rsidRPr="00CE0B87">
        <w:rPr>
          <w:rFonts w:ascii="Arial" w:eastAsia="Times New Roman" w:hAnsi="Arial" w:cs="Arial"/>
          <w:color w:val="000000"/>
          <w:sz w:val="24"/>
          <w:szCs w:val="24"/>
          <w:lang w:eastAsia="es-BO"/>
        </w:rPr>
        <w:t>. N° 12395, aspecto incongruente con el documento de compra y venta de 25 de octubre de 2010, </w:t>
      </w:r>
      <w:r w:rsidRPr="00CE0B87">
        <w:rPr>
          <w:rFonts w:ascii="Arial" w:eastAsia="Times New Roman" w:hAnsi="Arial" w:cs="Arial"/>
          <w:b/>
          <w:bCs/>
          <w:color w:val="000000"/>
          <w:sz w:val="24"/>
          <w:szCs w:val="24"/>
          <w:lang w:eastAsia="es-BO"/>
        </w:rPr>
        <w:t>(I.5.1.10.), </w:t>
      </w:r>
      <w:r w:rsidRPr="00CE0B87">
        <w:rPr>
          <w:rFonts w:ascii="Arial" w:eastAsia="Times New Roman" w:hAnsi="Arial" w:cs="Arial"/>
          <w:color w:val="000000"/>
          <w:sz w:val="24"/>
          <w:szCs w:val="24"/>
          <w:lang w:eastAsia="es-BO"/>
        </w:rPr>
        <w:t xml:space="preserve">en la que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Paris de manera contradictoria hace referencia a diferentes superficies adquiridas, de lo que se evidencia la contravención del art. 269 del D.S. N° 29215, aspecto que el INRA debe analizar y sujetar a control de calidad.</w:t>
      </w:r>
    </w:p>
    <w:p w14:paraId="22EFC949" w14:textId="32C5BEBE"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En ese sentido considerando lo referido por el demandante respecto a “…</w:t>
      </w:r>
      <w:r w:rsidRPr="00CE0B87">
        <w:rPr>
          <w:rFonts w:ascii="Arial" w:eastAsia="Times New Roman" w:hAnsi="Arial" w:cs="Arial"/>
          <w:b/>
          <w:bCs/>
          <w:i/>
          <w:iCs/>
          <w:color w:val="000000"/>
          <w:sz w:val="24"/>
          <w:szCs w:val="24"/>
          <w:lang w:eastAsia="es-BO"/>
        </w:rPr>
        <w:t>que el fraccionamiento </w:t>
      </w:r>
      <w:r w:rsidRPr="00CE0B87">
        <w:rPr>
          <w:rFonts w:ascii="Arial" w:eastAsia="Times New Roman" w:hAnsi="Arial" w:cs="Arial"/>
          <w:b/>
          <w:bCs/>
          <w:i/>
          <w:iCs/>
          <w:color w:val="000000"/>
          <w:sz w:val="24"/>
          <w:szCs w:val="24"/>
          <w:lang w:val="es-ES" w:eastAsia="es-BO"/>
        </w:rPr>
        <w:t>solo buscaba acogerse al régimen de las pequeñas propiedades y consiguientemente, obtener el beneficio indebido de titularse sin el cumplimiento de la función económico social</w:t>
      </w:r>
      <w:r w:rsidRPr="00CE0B87">
        <w:rPr>
          <w:rFonts w:ascii="Arial" w:eastAsia="Times New Roman" w:hAnsi="Arial" w:cs="Arial"/>
          <w:color w:val="000000"/>
          <w:sz w:val="24"/>
          <w:szCs w:val="24"/>
          <w:lang w:val="es-ES" w:eastAsia="es-BO"/>
        </w:rPr>
        <w:t>…” (sic), conforme lo desarrollado se evidencia que el </w:t>
      </w:r>
      <w:r w:rsidRPr="00CE0B87">
        <w:rPr>
          <w:rFonts w:ascii="Arial" w:eastAsia="Times New Roman" w:hAnsi="Arial" w:cs="Arial"/>
          <w:color w:val="000000"/>
          <w:sz w:val="24"/>
          <w:szCs w:val="24"/>
          <w:lang w:eastAsia="es-BO"/>
        </w:rPr>
        <w:t xml:space="preserve">Ente Administrativo no valoró y analizó los documentos de Compra y Venta referidos,  advirtiéndose </w:t>
      </w:r>
      <w:r w:rsidR="00F46FD7" w:rsidRPr="00CE0B87">
        <w:rPr>
          <w:rFonts w:ascii="Arial" w:eastAsia="Times New Roman" w:hAnsi="Arial" w:cs="Arial"/>
          <w:color w:val="000000"/>
          <w:sz w:val="24"/>
          <w:szCs w:val="24"/>
          <w:lang w:eastAsia="es-BO"/>
        </w:rPr>
        <w:t xml:space="preserve">un posible </w:t>
      </w:r>
      <w:r w:rsidRPr="00CE0B87">
        <w:rPr>
          <w:rFonts w:ascii="Arial" w:eastAsia="Times New Roman" w:hAnsi="Arial" w:cs="Arial"/>
          <w:color w:val="000000"/>
          <w:sz w:val="24"/>
          <w:szCs w:val="24"/>
          <w:lang w:eastAsia="es-BO"/>
        </w:rPr>
        <w:t xml:space="preserve">fraccionamiento fraudulento, </w:t>
      </w:r>
      <w:r w:rsidR="00F46FD7" w:rsidRPr="00CE0B87">
        <w:rPr>
          <w:rFonts w:ascii="Arial" w:eastAsia="Times New Roman" w:hAnsi="Arial" w:cs="Arial"/>
          <w:color w:val="000000"/>
          <w:sz w:val="24"/>
          <w:szCs w:val="24"/>
          <w:lang w:eastAsia="es-BO"/>
        </w:rPr>
        <w:t>y</w:t>
      </w:r>
      <w:r w:rsidRPr="00CE0B87">
        <w:rPr>
          <w:rFonts w:ascii="Arial" w:eastAsia="Times New Roman" w:hAnsi="Arial" w:cs="Arial"/>
          <w:color w:val="000000"/>
          <w:sz w:val="24"/>
          <w:szCs w:val="24"/>
          <w:lang w:eastAsia="es-BO"/>
        </w:rPr>
        <w:t xml:space="preserve"> una posible evasión o vulneración </w:t>
      </w:r>
      <w:r w:rsidRPr="00CE0B87">
        <w:rPr>
          <w:rFonts w:ascii="Arial" w:eastAsia="Times New Roman" w:hAnsi="Arial" w:cs="Arial"/>
          <w:color w:val="000000"/>
          <w:sz w:val="24"/>
          <w:szCs w:val="24"/>
          <w:lang w:val="es-ES" w:eastAsia="es-BO"/>
        </w:rPr>
        <w:t>d</w:t>
      </w:r>
      <w:r w:rsidRPr="00CE0B87">
        <w:rPr>
          <w:rFonts w:ascii="Arial" w:eastAsia="Times New Roman" w:hAnsi="Arial" w:cs="Arial"/>
          <w:color w:val="000000"/>
          <w:sz w:val="24"/>
          <w:szCs w:val="24"/>
          <w:lang w:eastAsia="es-BO"/>
        </w:rPr>
        <w:t>el límite máximo de la superficie agraria de 5000 ha (cinco mil hectáreas); que al respecto, el</w:t>
      </w:r>
      <w:r w:rsidRPr="00CE0B87">
        <w:rPr>
          <w:rFonts w:ascii="Arial" w:eastAsia="Times New Roman" w:hAnsi="Arial" w:cs="Arial"/>
          <w:i/>
          <w:iCs/>
          <w:color w:val="000000"/>
          <w:sz w:val="24"/>
          <w:szCs w:val="24"/>
          <w:lang w:eastAsia="es-BO"/>
        </w:rPr>
        <w:t> </w:t>
      </w:r>
      <w:r w:rsidRPr="00CE0B87">
        <w:rPr>
          <w:rFonts w:ascii="Arial" w:eastAsia="Times New Roman" w:hAnsi="Arial" w:cs="Arial"/>
          <w:color w:val="000000"/>
          <w:sz w:val="24"/>
          <w:szCs w:val="24"/>
          <w:lang w:eastAsia="es-BO"/>
        </w:rPr>
        <w:t>art. 398 de la CPE, dispone que </w:t>
      </w:r>
      <w:r w:rsidRPr="00CE0B87">
        <w:rPr>
          <w:rFonts w:ascii="Arial" w:eastAsia="Times New Roman" w:hAnsi="Arial" w:cs="Arial"/>
          <w:i/>
          <w:iCs/>
          <w:color w:val="000000"/>
          <w:sz w:val="24"/>
          <w:szCs w:val="24"/>
          <w:lang w:eastAsia="es-BO"/>
        </w:rPr>
        <w:t>“La superficie máxima en ningún caso podrá exceder de cinco mil hectáreas”,  </w:t>
      </w:r>
      <w:r w:rsidRPr="00CE0B87">
        <w:rPr>
          <w:rFonts w:ascii="Arial" w:eastAsia="Times New Roman" w:hAnsi="Arial" w:cs="Arial"/>
          <w:color w:val="000000"/>
          <w:sz w:val="24"/>
          <w:szCs w:val="24"/>
          <w:lang w:val="es-ES" w:eastAsia="es-BO"/>
        </w:rPr>
        <w:t>por otra, el art. 399.I de la Norma Constitucional, también establece que: “</w:t>
      </w:r>
      <w:r w:rsidRPr="00CE0B87">
        <w:rPr>
          <w:rFonts w:ascii="Arial" w:eastAsia="Times New Roman" w:hAnsi="Arial" w:cs="Arial"/>
          <w:i/>
          <w:iCs/>
          <w:color w:val="000000"/>
          <w:sz w:val="24"/>
          <w:szCs w:val="24"/>
          <w:lang w:val="es-ES" w:eastAsia="es-BO"/>
        </w:rPr>
        <w:t>Los nuevos límites de la propiedad agraria zonificada se aplicarán a predios que se hayan adquirido con posterioridad a la vigencia de esta Constitución. A los efectos de la irretroactividad de la ley, se reconocen y respetan los derechos de posesión y propiedad agraria de acuerdo a ley</w:t>
      </w:r>
      <w:r w:rsidRPr="00CE0B87">
        <w:rPr>
          <w:rFonts w:ascii="Arial" w:eastAsia="Times New Roman" w:hAnsi="Arial" w:cs="Arial"/>
          <w:color w:val="000000"/>
          <w:sz w:val="24"/>
          <w:szCs w:val="24"/>
          <w:lang w:val="es-ES" w:eastAsia="es-BO"/>
        </w:rPr>
        <w:t>”; disposiciones constitucionales que por la </w:t>
      </w:r>
      <w:r w:rsidRPr="00CE0B87">
        <w:rPr>
          <w:rFonts w:ascii="Arial" w:eastAsia="Times New Roman" w:hAnsi="Arial" w:cs="Arial"/>
          <w:i/>
          <w:iCs/>
          <w:color w:val="000000"/>
          <w:sz w:val="24"/>
          <w:szCs w:val="24"/>
          <w:lang w:val="es-ES" w:eastAsia="es-BO"/>
        </w:rPr>
        <w:t>“Supremacía Constitucional”</w:t>
      </w:r>
      <w:r w:rsidRPr="00CE0B87">
        <w:rPr>
          <w:rFonts w:ascii="Arial" w:eastAsia="Times New Roman" w:hAnsi="Arial" w:cs="Arial"/>
          <w:color w:val="000000"/>
          <w:sz w:val="24"/>
          <w:szCs w:val="24"/>
          <w:lang w:val="es-ES" w:eastAsia="es-BO"/>
        </w:rPr>
        <w:t>, establecida en el art. 410.II de la CPE, tienen prevalencia frente a otras normas que tienen la jerarquía de sólo leyes; por lo expuesto corresponderá que el INRA, con el debido sustento, motivación y fundamentación; </w:t>
      </w:r>
      <w:r w:rsidRPr="00CE0B87">
        <w:rPr>
          <w:rFonts w:ascii="Arial" w:eastAsia="Times New Roman" w:hAnsi="Arial" w:cs="Arial"/>
          <w:color w:val="000000"/>
          <w:sz w:val="24"/>
          <w:szCs w:val="24"/>
          <w:lang w:eastAsia="es-BO"/>
        </w:rPr>
        <w:t>más aun considerando, entre otros, lo previsto por el art. 269.I del D.S. N° 29215, el cual determina que </w:t>
      </w:r>
      <w:r w:rsidRPr="00CE0B87">
        <w:rPr>
          <w:rFonts w:ascii="Arial" w:eastAsia="Times New Roman" w:hAnsi="Arial" w:cs="Arial"/>
          <w:i/>
          <w:iCs/>
          <w:color w:val="000000"/>
          <w:sz w:val="24"/>
          <w:szCs w:val="24"/>
          <w:lang w:eastAsia="es-BO"/>
        </w:rPr>
        <w:t>“Si existiera denuncia o indicios de fraccionamientos de medianas propiedades o empresas agropecuarias realizados con la finalidad de acogerse al régimen previsto para las pequeñas propiedades, eludir el pago de precios de mercado, la verificación de la función económico – social u obtener algún beneficio que no le corresponda, que hubiesen ocurrido antes, durante o después de relevamiento de información en campo, se procederá a una investigación de oficio, con los medios previstos en el artículo anterior”</w:t>
      </w:r>
      <w:r w:rsidRPr="00CE0B87">
        <w:rPr>
          <w:rFonts w:ascii="Arial" w:eastAsia="Times New Roman" w:hAnsi="Arial" w:cs="Arial"/>
          <w:color w:val="000000"/>
          <w:sz w:val="24"/>
          <w:szCs w:val="24"/>
          <w:lang w:eastAsia="es-BO"/>
        </w:rPr>
        <w:t xml:space="preserve">, en atención a lo acusado en éste punto, previo a emitir el respectivo Informe en Conclusiones, </w:t>
      </w:r>
      <w:r w:rsidRPr="00CE0B87">
        <w:rPr>
          <w:rFonts w:ascii="Arial" w:eastAsia="Times New Roman" w:hAnsi="Arial" w:cs="Arial"/>
          <w:color w:val="000000"/>
          <w:sz w:val="24"/>
          <w:szCs w:val="24"/>
          <w:lang w:eastAsia="es-BO"/>
        </w:rPr>
        <w:lastRenderedPageBreak/>
        <w:t>en el marco de sus atribuciones y funciones, el ente administrativo responsable de la ejecución del procedimiento de saneamiento, y con el debido control de calidad interno, mediante el relevamiento de información fidedigna y estándares de calidad de las actuaciones cumplidas, regulados en disposiciones internas, debe indagar y requerir a las instancias pertinentes toda información y/o documentación, bajo el principio de verdad material, a efecto de absolver, lo acusado en la tramitación de los predios objeto de la </w:t>
      </w:r>
      <w:r w:rsidRPr="00CE0B87">
        <w:rPr>
          <w:rFonts w:ascii="Arial" w:eastAsia="Times New Roman" w:hAnsi="Arial" w:cs="Arial"/>
          <w:i/>
          <w:iCs/>
          <w:color w:val="000000"/>
          <w:sz w:val="24"/>
          <w:szCs w:val="24"/>
          <w:lang w:eastAsia="es-BO"/>
        </w:rPr>
        <w:t>Litis</w:t>
      </w:r>
      <w:r w:rsidRPr="00CE0B87">
        <w:rPr>
          <w:rFonts w:ascii="Arial" w:eastAsia="Times New Roman" w:hAnsi="Arial" w:cs="Arial"/>
          <w:color w:val="000000"/>
          <w:sz w:val="24"/>
          <w:szCs w:val="24"/>
          <w:lang w:eastAsia="es-BO"/>
        </w:rPr>
        <w:t>; en consecuencia, de lo señalado precedentemente, corresponde al INRA, reencausar procedimiento y elaborar un nuevo Informe en Conclusiones que contenga la valoración de toda la información relevada en campo y gabinete a efectos de que el proceso de saneamiento se desarrolle sin vicios de nulidad, en el marco de la Norma Constitucional y agraria vigente.</w:t>
      </w:r>
    </w:p>
    <w:p w14:paraId="6409B5CF"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FJ.III.3.-</w:t>
      </w:r>
      <w:r w:rsidRPr="00CE0B87">
        <w:rPr>
          <w:rFonts w:ascii="Arial" w:eastAsia="Times New Roman" w:hAnsi="Arial" w:cs="Arial"/>
          <w:color w:val="000000"/>
          <w:sz w:val="24"/>
          <w:szCs w:val="24"/>
          <w:lang w:val="es-ES" w:eastAsia="es-BO"/>
        </w:rPr>
        <w:t> </w:t>
      </w:r>
      <w:r w:rsidRPr="00CE0B87">
        <w:rPr>
          <w:rFonts w:ascii="Arial" w:eastAsia="Times New Roman" w:hAnsi="Arial" w:cs="Arial"/>
          <w:b/>
          <w:bCs/>
          <w:color w:val="000000"/>
          <w:sz w:val="24"/>
          <w:szCs w:val="24"/>
          <w:lang w:val="es-ES" w:eastAsia="es-BO"/>
        </w:rPr>
        <w:t>Mala valoración de los antecedentes agrarios en el relevamiento en gabinete</w:t>
      </w:r>
    </w:p>
    <w:p w14:paraId="6390A7D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Al respecto, cabe manifestar que con relación a los predios “Ayacucho” y “Ayacucho I”, de la revisión del </w:t>
      </w:r>
      <w:r w:rsidRPr="00CE0B87">
        <w:rPr>
          <w:rFonts w:ascii="Arial" w:eastAsia="Times New Roman" w:hAnsi="Arial" w:cs="Arial"/>
          <w:color w:val="000000"/>
          <w:sz w:val="24"/>
          <w:szCs w:val="24"/>
          <w:lang w:eastAsia="es-BO"/>
        </w:rPr>
        <w:t>Informe en Conclusiones Saneamiento de Oficio (SAN – SIM) de 30 de octubre de 2015</w:t>
      </w:r>
      <w:r w:rsidRPr="00CE0B87">
        <w:rPr>
          <w:rFonts w:ascii="Arial" w:eastAsia="Times New Roman" w:hAnsi="Arial" w:cs="Arial"/>
          <w:b/>
          <w:bCs/>
          <w:color w:val="000000"/>
          <w:sz w:val="24"/>
          <w:szCs w:val="24"/>
          <w:lang w:eastAsia="es-BO"/>
        </w:rPr>
        <w:t> (I.5.1.20.)</w:t>
      </w:r>
      <w:r w:rsidRPr="00CE0B87">
        <w:rPr>
          <w:rFonts w:ascii="Arial" w:eastAsia="Times New Roman" w:hAnsi="Arial" w:cs="Arial"/>
          <w:color w:val="000000"/>
          <w:sz w:val="24"/>
          <w:szCs w:val="24"/>
          <w:lang w:eastAsia="es-BO"/>
        </w:rPr>
        <w:t>, se evidencia que el </w:t>
      </w:r>
      <w:proofErr w:type="spellStart"/>
      <w:r w:rsidRPr="00CE0B87">
        <w:rPr>
          <w:rFonts w:ascii="Arial" w:eastAsia="Times New Roman" w:hAnsi="Arial" w:cs="Arial"/>
          <w:b/>
          <w:bCs/>
          <w:color w:val="000000"/>
          <w:sz w:val="24"/>
          <w:szCs w:val="24"/>
          <w:lang w:eastAsia="es-BO"/>
        </w:rPr>
        <w:t>Exp</w:t>
      </w:r>
      <w:proofErr w:type="spellEnd"/>
      <w:r w:rsidRPr="00CE0B87">
        <w:rPr>
          <w:rFonts w:ascii="Arial" w:eastAsia="Times New Roman" w:hAnsi="Arial" w:cs="Arial"/>
          <w:b/>
          <w:bCs/>
          <w:color w:val="000000"/>
          <w:sz w:val="24"/>
          <w:szCs w:val="24"/>
          <w:lang w:eastAsia="es-BO"/>
        </w:rPr>
        <w:t>. 58128</w:t>
      </w:r>
      <w:r w:rsidRPr="00CE0B87">
        <w:rPr>
          <w:rFonts w:ascii="Arial" w:eastAsia="Times New Roman" w:hAnsi="Arial" w:cs="Arial"/>
          <w:color w:val="000000"/>
          <w:sz w:val="24"/>
          <w:szCs w:val="24"/>
          <w:lang w:eastAsia="es-BO"/>
        </w:rPr>
        <w:t>, correspondiente al ex fundo denominado “Ayacucho”, se encuentra afectado de vicios de nulidad absoluta por incumplimiento del art. 395.II de la CPE, concordante con el art. 5 del Decreto Ley de Reforma Agraria N° 3464 de 02 de agosto de 1953, elevado a rango de Ley el 29 de octubre de 1956 y conforme a lo establecido en los arts. 331.I inc. c) y 334 del Decreto Supremo N° 29215.</w:t>
      </w:r>
    </w:p>
    <w:p w14:paraId="3F8363DB" w14:textId="2AB75AC3"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De otra parte, con relación al </w:t>
      </w:r>
      <w:proofErr w:type="spellStart"/>
      <w:r w:rsidRPr="00CE0B87">
        <w:rPr>
          <w:rFonts w:ascii="Arial" w:eastAsia="Times New Roman" w:hAnsi="Arial" w:cs="Arial"/>
          <w:b/>
          <w:bCs/>
          <w:color w:val="000000"/>
          <w:sz w:val="24"/>
          <w:szCs w:val="24"/>
          <w:lang w:eastAsia="es-BO"/>
        </w:rPr>
        <w:t>Exp</w:t>
      </w:r>
      <w:proofErr w:type="spellEnd"/>
      <w:r w:rsidRPr="00CE0B87">
        <w:rPr>
          <w:rFonts w:ascii="Arial" w:eastAsia="Times New Roman" w:hAnsi="Arial" w:cs="Arial"/>
          <w:b/>
          <w:bCs/>
          <w:color w:val="000000"/>
          <w:sz w:val="24"/>
          <w:szCs w:val="24"/>
          <w:lang w:eastAsia="es-BO"/>
        </w:rPr>
        <w:t>. 12395 del Título Ejecutorial Proindiviso N° 380523, </w:t>
      </w:r>
      <w:r w:rsidRPr="00CE0B87">
        <w:rPr>
          <w:rFonts w:ascii="Arial" w:eastAsia="Times New Roman" w:hAnsi="Arial" w:cs="Arial"/>
          <w:color w:val="000000"/>
          <w:sz w:val="24"/>
          <w:szCs w:val="24"/>
          <w:lang w:eastAsia="es-BO"/>
        </w:rPr>
        <w:t>en el referido Informe en Conclusiones </w:t>
      </w:r>
      <w:r w:rsidRPr="00CE0B87">
        <w:rPr>
          <w:rFonts w:ascii="Arial" w:eastAsia="Times New Roman" w:hAnsi="Arial" w:cs="Arial"/>
          <w:b/>
          <w:bCs/>
          <w:color w:val="000000"/>
          <w:sz w:val="24"/>
          <w:szCs w:val="24"/>
          <w:lang w:eastAsia="es-BO"/>
        </w:rPr>
        <w:t>(I.5.1.20.), </w:t>
      </w:r>
      <w:r w:rsidRPr="00CE0B87">
        <w:rPr>
          <w:rFonts w:ascii="Arial" w:eastAsia="Times New Roman" w:hAnsi="Arial" w:cs="Arial"/>
          <w:color w:val="000000"/>
          <w:sz w:val="24"/>
          <w:szCs w:val="24"/>
          <w:lang w:eastAsia="es-BO"/>
        </w:rPr>
        <w:t>refiere que al haberse establecido vicios de nulidad relativa e incumplimiento de la Función Económica Social del predio denominado “Ayacucho” otorgado a favor de Antonio Parabas y otros, se dispone el archivo definitivo de obrados, empero</w:t>
      </w:r>
      <w:r w:rsidR="00C06B89">
        <w:rPr>
          <w:rFonts w:ascii="Arial" w:eastAsia="Times New Roman" w:hAnsi="Arial" w:cs="Arial"/>
          <w:color w:val="000000"/>
          <w:sz w:val="24"/>
          <w:szCs w:val="24"/>
          <w:lang w:eastAsia="es-BO"/>
        </w:rPr>
        <w:t>,</w:t>
      </w:r>
      <w:r w:rsidRPr="00CE0B87">
        <w:rPr>
          <w:rFonts w:ascii="Arial" w:eastAsia="Times New Roman" w:hAnsi="Arial" w:cs="Arial"/>
          <w:color w:val="000000"/>
          <w:sz w:val="24"/>
          <w:szCs w:val="24"/>
          <w:lang w:eastAsia="es-BO"/>
        </w:rPr>
        <w:t xml:space="preserve"> el mismo no identifica la </w:t>
      </w:r>
      <w:proofErr w:type="spellStart"/>
      <w:r w:rsidRPr="00CE0B87">
        <w:rPr>
          <w:rFonts w:ascii="Arial" w:eastAsia="Times New Roman" w:hAnsi="Arial" w:cs="Arial"/>
          <w:color w:val="000000"/>
          <w:sz w:val="24"/>
          <w:szCs w:val="24"/>
          <w:lang w:eastAsia="es-BO"/>
        </w:rPr>
        <w:t>sobreposición</w:t>
      </w:r>
      <w:proofErr w:type="spellEnd"/>
      <w:r w:rsidRPr="00CE0B87">
        <w:rPr>
          <w:rFonts w:ascii="Arial" w:eastAsia="Times New Roman" w:hAnsi="Arial" w:cs="Arial"/>
          <w:color w:val="000000"/>
          <w:sz w:val="24"/>
          <w:szCs w:val="24"/>
          <w:lang w:eastAsia="es-BO"/>
        </w:rPr>
        <w:t xml:space="preserve"> del área de saneamiento al área titulada, asimismo, no realiza apreciaciones sobre la dotación del predio a las 12 personas.</w:t>
      </w:r>
    </w:p>
    <w:p w14:paraId="4CDAD0CF" w14:textId="4F54D9D9" w:rsidR="00F206F0" w:rsidRPr="00CE0B87" w:rsidRDefault="00820DA6" w:rsidP="00CE0B87">
      <w:pPr>
        <w:spacing w:after="0" w:line="360" w:lineRule="auto"/>
        <w:jc w:val="both"/>
        <w:rPr>
          <w:rFonts w:ascii="Arial" w:eastAsia="Times New Roman" w:hAnsi="Arial" w:cs="Arial"/>
          <w:color w:val="000000"/>
          <w:sz w:val="24"/>
          <w:szCs w:val="24"/>
          <w:lang w:eastAsia="es-BO"/>
        </w:rPr>
      </w:pPr>
      <w:r w:rsidRPr="00CE0B87">
        <w:rPr>
          <w:rFonts w:ascii="Arial" w:eastAsia="Times New Roman" w:hAnsi="Arial" w:cs="Arial"/>
          <w:color w:val="000000"/>
          <w:sz w:val="24"/>
          <w:szCs w:val="24"/>
          <w:lang w:eastAsia="es-BO"/>
        </w:rPr>
        <w:t>Asimismo, respecto al </w:t>
      </w:r>
      <w:proofErr w:type="spellStart"/>
      <w:r w:rsidRPr="00CE0B87">
        <w:rPr>
          <w:rFonts w:ascii="Arial" w:eastAsia="Times New Roman" w:hAnsi="Arial" w:cs="Arial"/>
          <w:b/>
          <w:bCs/>
          <w:color w:val="000000"/>
          <w:sz w:val="24"/>
          <w:szCs w:val="24"/>
          <w:lang w:eastAsia="es-BO"/>
        </w:rPr>
        <w:t>Exp</w:t>
      </w:r>
      <w:proofErr w:type="spellEnd"/>
      <w:r w:rsidR="00C06B89">
        <w:rPr>
          <w:rFonts w:ascii="Arial" w:eastAsia="Times New Roman" w:hAnsi="Arial" w:cs="Arial"/>
          <w:b/>
          <w:bCs/>
          <w:color w:val="000000"/>
          <w:sz w:val="24"/>
          <w:szCs w:val="24"/>
          <w:lang w:eastAsia="es-BO"/>
        </w:rPr>
        <w:t>.</w:t>
      </w:r>
      <w:r w:rsidRPr="00CE0B87">
        <w:rPr>
          <w:rFonts w:ascii="Arial" w:eastAsia="Times New Roman" w:hAnsi="Arial" w:cs="Arial"/>
          <w:b/>
          <w:bCs/>
          <w:color w:val="000000"/>
          <w:sz w:val="24"/>
          <w:szCs w:val="24"/>
          <w:lang w:eastAsia="es-BO"/>
        </w:rPr>
        <w:t xml:space="preserve"> N° 12395 </w:t>
      </w:r>
      <w:r w:rsidRPr="00CE0B87">
        <w:rPr>
          <w:rFonts w:ascii="Arial" w:eastAsia="Times New Roman" w:hAnsi="Arial" w:cs="Arial"/>
          <w:color w:val="000000"/>
          <w:sz w:val="24"/>
          <w:szCs w:val="24"/>
          <w:lang w:eastAsia="es-BO"/>
        </w:rPr>
        <w:t>del </w:t>
      </w:r>
      <w:r w:rsidRPr="00CE0B87">
        <w:rPr>
          <w:rFonts w:ascii="Arial" w:eastAsia="Times New Roman" w:hAnsi="Arial" w:cs="Arial"/>
          <w:b/>
          <w:bCs/>
          <w:color w:val="000000"/>
          <w:sz w:val="24"/>
          <w:szCs w:val="24"/>
          <w:lang w:eastAsia="es-BO"/>
        </w:rPr>
        <w:t>Título Ejecutorial Individual N°</w:t>
      </w:r>
      <w:r w:rsidRPr="00CE0B87">
        <w:rPr>
          <w:rFonts w:ascii="Arial" w:eastAsia="Times New Roman" w:hAnsi="Arial" w:cs="Arial"/>
          <w:color w:val="000000"/>
          <w:sz w:val="24"/>
          <w:szCs w:val="24"/>
          <w:lang w:eastAsia="es-BO"/>
        </w:rPr>
        <w:t> </w:t>
      </w:r>
      <w:r w:rsidRPr="00CE0B87">
        <w:rPr>
          <w:rFonts w:ascii="Arial" w:eastAsia="Times New Roman" w:hAnsi="Arial" w:cs="Arial"/>
          <w:b/>
          <w:bCs/>
          <w:color w:val="000000"/>
          <w:sz w:val="24"/>
          <w:szCs w:val="24"/>
          <w:lang w:eastAsia="es-BO"/>
        </w:rPr>
        <w:t>380522, </w:t>
      </w:r>
      <w:r w:rsidRPr="00CE0B87">
        <w:rPr>
          <w:rFonts w:ascii="Arial" w:eastAsia="Times New Roman" w:hAnsi="Arial" w:cs="Arial"/>
          <w:color w:val="000000"/>
          <w:sz w:val="24"/>
          <w:szCs w:val="24"/>
          <w:lang w:eastAsia="es-BO"/>
        </w:rPr>
        <w:t xml:space="preserve">señala que subsanando los vicios de nulidad relativa y vía Conversión otorgar la superficie de 1,409.0501 ha y Adjudicación de la superficie de 3,590.9499 ha a favor de </w:t>
      </w:r>
      <w:proofErr w:type="spellStart"/>
      <w:r w:rsidRPr="00CE0B87">
        <w:rPr>
          <w:rFonts w:ascii="Arial" w:eastAsia="Times New Roman" w:hAnsi="Arial" w:cs="Arial"/>
          <w:color w:val="000000"/>
          <w:sz w:val="24"/>
          <w:szCs w:val="24"/>
          <w:lang w:eastAsia="es-BO"/>
        </w:rPr>
        <w:t>Noriko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Yunikochi</w:t>
      </w:r>
      <w:proofErr w:type="spellEnd"/>
      <w:r w:rsidRPr="00CE0B87">
        <w:rPr>
          <w:rFonts w:ascii="Arial" w:eastAsia="Times New Roman" w:hAnsi="Arial" w:cs="Arial"/>
          <w:color w:val="000000"/>
          <w:sz w:val="24"/>
          <w:szCs w:val="24"/>
          <w:lang w:eastAsia="es-BO"/>
        </w:rPr>
        <w:t xml:space="preserv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y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empero de la revisión del Informe Técnico Complementario al Diagnostico DDSC-CO-I-INF. N° 2134/2015 de 29 de junio de 2015 </w:t>
      </w:r>
      <w:r w:rsidRPr="00CE0B87">
        <w:rPr>
          <w:rFonts w:ascii="Arial" w:eastAsia="Times New Roman" w:hAnsi="Arial" w:cs="Arial"/>
          <w:b/>
          <w:bCs/>
          <w:color w:val="000000"/>
          <w:sz w:val="24"/>
          <w:szCs w:val="24"/>
          <w:lang w:eastAsia="es-BO"/>
        </w:rPr>
        <w:t>(I.5.1.19.)</w:t>
      </w:r>
      <w:r w:rsidRPr="00CE0B87">
        <w:rPr>
          <w:rFonts w:ascii="Arial" w:eastAsia="Times New Roman" w:hAnsi="Arial" w:cs="Arial"/>
          <w:color w:val="000000"/>
          <w:sz w:val="24"/>
          <w:szCs w:val="24"/>
          <w:lang w:eastAsia="es-BO"/>
        </w:rPr>
        <w:t xml:space="preserve">, se advierte que en el acápite 5, identifica que el </w:t>
      </w:r>
      <w:proofErr w:type="spellStart"/>
      <w:r w:rsidRPr="00CE0B87">
        <w:rPr>
          <w:rFonts w:ascii="Arial" w:eastAsia="Times New Roman" w:hAnsi="Arial" w:cs="Arial"/>
          <w:color w:val="000000"/>
          <w:sz w:val="24"/>
          <w:szCs w:val="24"/>
          <w:lang w:eastAsia="es-BO"/>
        </w:rPr>
        <w:t>Exp</w:t>
      </w:r>
      <w:proofErr w:type="spellEnd"/>
      <w:r w:rsidRPr="00CE0B87">
        <w:rPr>
          <w:rFonts w:ascii="Arial" w:eastAsia="Times New Roman" w:hAnsi="Arial" w:cs="Arial"/>
          <w:color w:val="000000"/>
          <w:sz w:val="24"/>
          <w:szCs w:val="24"/>
          <w:lang w:eastAsia="es-BO"/>
        </w:rPr>
        <w:t xml:space="preserve"> 12395, correspondiente al área 1 se sobrepone al predio “Ayacucho”, en </w:t>
      </w:r>
      <w:r w:rsidRPr="00CE0B87">
        <w:rPr>
          <w:rFonts w:ascii="Arial" w:eastAsia="Times New Roman" w:hAnsi="Arial" w:cs="Arial"/>
          <w:b/>
          <w:bCs/>
          <w:color w:val="000000"/>
          <w:sz w:val="24"/>
          <w:szCs w:val="24"/>
          <w:lang w:eastAsia="es-BO"/>
        </w:rPr>
        <w:t>“1318.9364 ha”</w:t>
      </w:r>
      <w:r w:rsidRPr="00CE0B87">
        <w:rPr>
          <w:rFonts w:ascii="Arial" w:eastAsia="Times New Roman" w:hAnsi="Arial" w:cs="Arial"/>
          <w:color w:val="000000"/>
          <w:sz w:val="24"/>
          <w:szCs w:val="24"/>
          <w:lang w:eastAsia="es-BO"/>
        </w:rPr>
        <w:t>;  con relación al predio “Ayacucho I”, se sobrepone “</w:t>
      </w:r>
      <w:r w:rsidRPr="00CE0B87">
        <w:rPr>
          <w:rFonts w:ascii="Arial" w:eastAsia="Times New Roman" w:hAnsi="Arial" w:cs="Arial"/>
          <w:b/>
          <w:bCs/>
          <w:color w:val="000000"/>
          <w:sz w:val="24"/>
          <w:szCs w:val="24"/>
          <w:lang w:eastAsia="es-BO"/>
        </w:rPr>
        <w:t>744.5589 ha”</w:t>
      </w:r>
      <w:r w:rsidRPr="00CE0B87">
        <w:rPr>
          <w:rFonts w:ascii="Arial" w:eastAsia="Times New Roman" w:hAnsi="Arial" w:cs="Arial"/>
          <w:color w:val="000000"/>
          <w:sz w:val="24"/>
          <w:szCs w:val="24"/>
          <w:lang w:eastAsia="es-BO"/>
        </w:rPr>
        <w:t xml:space="preserve">, existiendo </w:t>
      </w:r>
      <w:r w:rsidRPr="00CE0B87">
        <w:rPr>
          <w:rFonts w:ascii="Arial" w:eastAsia="Times New Roman" w:hAnsi="Arial" w:cs="Arial"/>
          <w:color w:val="000000"/>
          <w:sz w:val="24"/>
          <w:szCs w:val="24"/>
          <w:lang w:eastAsia="es-BO"/>
        </w:rPr>
        <w:lastRenderedPageBreak/>
        <w:t xml:space="preserve">una </w:t>
      </w:r>
      <w:proofErr w:type="spellStart"/>
      <w:r w:rsidRPr="00CE0B87">
        <w:rPr>
          <w:rFonts w:ascii="Arial" w:eastAsia="Times New Roman" w:hAnsi="Arial" w:cs="Arial"/>
          <w:color w:val="000000"/>
          <w:sz w:val="24"/>
          <w:szCs w:val="24"/>
          <w:lang w:eastAsia="es-BO"/>
        </w:rPr>
        <w:t>sobreposición</w:t>
      </w:r>
      <w:proofErr w:type="spellEnd"/>
      <w:r w:rsidRPr="00CE0B87">
        <w:rPr>
          <w:rFonts w:ascii="Arial" w:eastAsia="Times New Roman" w:hAnsi="Arial" w:cs="Arial"/>
          <w:color w:val="000000"/>
          <w:sz w:val="24"/>
          <w:szCs w:val="24"/>
          <w:lang w:eastAsia="es-BO"/>
        </w:rPr>
        <w:t xml:space="preserve"> que contrastado con el Informe Técnico INF/VT/DGT/UST/0131-202</w:t>
      </w:r>
      <w:r w:rsidR="00F206F0" w:rsidRPr="00CE0B87">
        <w:rPr>
          <w:rFonts w:ascii="Arial" w:eastAsia="Times New Roman" w:hAnsi="Arial" w:cs="Arial"/>
          <w:color w:val="000000"/>
          <w:sz w:val="24"/>
          <w:szCs w:val="24"/>
          <w:lang w:eastAsia="es-BO"/>
        </w:rPr>
        <w:t>1</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_tradnl" w:eastAsia="es-BO"/>
        </w:rPr>
        <w:t>emitido por el Viceministerio de Tierras</w:t>
      </w:r>
      <w:r w:rsidRPr="00CE0B87">
        <w:rPr>
          <w:rFonts w:ascii="Arial" w:eastAsia="Times New Roman" w:hAnsi="Arial" w:cs="Arial"/>
          <w:b/>
          <w:bCs/>
          <w:color w:val="000000"/>
          <w:sz w:val="24"/>
          <w:szCs w:val="24"/>
          <w:lang w:val="es-ES_tradnl" w:eastAsia="es-BO"/>
        </w:rPr>
        <w:t> (I.5.2.1.)</w:t>
      </w:r>
      <w:r w:rsidRPr="00CE0B87">
        <w:rPr>
          <w:rFonts w:ascii="Arial" w:eastAsia="Times New Roman" w:hAnsi="Arial" w:cs="Arial"/>
          <w:color w:val="000000"/>
          <w:sz w:val="24"/>
          <w:szCs w:val="24"/>
          <w:lang w:val="es-ES_tradnl" w:eastAsia="es-BO"/>
        </w:rPr>
        <w:t>, </w:t>
      </w:r>
      <w:r w:rsidRPr="00CE0B87">
        <w:rPr>
          <w:rFonts w:ascii="Arial" w:eastAsia="Times New Roman" w:hAnsi="Arial" w:cs="Arial"/>
          <w:color w:val="000000"/>
          <w:sz w:val="24"/>
          <w:szCs w:val="24"/>
          <w:lang w:eastAsia="es-BO"/>
        </w:rPr>
        <w:t>se tiene que la superficie del referido antecedente agrario se sobrepone al predio “Ayacucho” en “</w:t>
      </w:r>
      <w:r w:rsidRPr="00CE0B87">
        <w:rPr>
          <w:rFonts w:ascii="Arial" w:eastAsia="Times New Roman" w:hAnsi="Arial" w:cs="Arial"/>
          <w:b/>
          <w:bCs/>
          <w:color w:val="000000"/>
          <w:sz w:val="24"/>
          <w:szCs w:val="24"/>
          <w:lang w:eastAsia="es-BO"/>
        </w:rPr>
        <w:t>806,7350 ha”</w:t>
      </w:r>
      <w:r w:rsidRPr="00CE0B87">
        <w:rPr>
          <w:rFonts w:ascii="Arial" w:eastAsia="Times New Roman" w:hAnsi="Arial" w:cs="Arial"/>
          <w:color w:val="000000"/>
          <w:sz w:val="24"/>
          <w:szCs w:val="24"/>
          <w:lang w:eastAsia="es-BO"/>
        </w:rPr>
        <w:t>, es decir, en un 62 %</w:t>
      </w:r>
      <w:r w:rsidRPr="00CE0B87">
        <w:rPr>
          <w:rFonts w:ascii="Arial" w:eastAsia="Times New Roman" w:hAnsi="Arial" w:cs="Arial"/>
          <w:color w:val="000000"/>
          <w:sz w:val="24"/>
          <w:szCs w:val="24"/>
          <w:lang w:val="es-ES" w:eastAsia="es-BO"/>
        </w:rPr>
        <w:t>; </w:t>
      </w:r>
      <w:r w:rsidRPr="00CE0B87">
        <w:rPr>
          <w:rFonts w:ascii="Arial" w:eastAsia="Times New Roman" w:hAnsi="Arial" w:cs="Arial"/>
          <w:color w:val="000000"/>
          <w:sz w:val="24"/>
          <w:szCs w:val="24"/>
          <w:lang w:eastAsia="es-BO"/>
        </w:rPr>
        <w:t>de la misma manera, el Informe Técnico Legal JRLL-SCN-INF-SAN No 36/2020 de 14 de febrero </w:t>
      </w:r>
      <w:r w:rsidRPr="00CE0B87">
        <w:rPr>
          <w:rFonts w:ascii="Arial" w:eastAsia="Times New Roman" w:hAnsi="Arial" w:cs="Arial"/>
          <w:b/>
          <w:bCs/>
          <w:color w:val="000000"/>
          <w:sz w:val="24"/>
          <w:szCs w:val="24"/>
          <w:lang w:eastAsia="es-BO"/>
        </w:rPr>
        <w:t>(I.5.1.21.) </w:t>
      </w:r>
      <w:r w:rsidRPr="00CE0B87">
        <w:rPr>
          <w:rFonts w:ascii="Arial" w:eastAsia="Times New Roman" w:hAnsi="Arial" w:cs="Arial"/>
          <w:color w:val="000000"/>
          <w:sz w:val="24"/>
          <w:szCs w:val="24"/>
          <w:lang w:eastAsia="es-BO"/>
        </w:rPr>
        <w:t>respecto al predio “Ayacucho” concluye anular el Título Ejecutorial N° 380522 con antecedente en el Expediente N° 12395 y Vía Conversión reconocer la superficie de “</w:t>
      </w:r>
      <w:r w:rsidRPr="00CE0B87">
        <w:rPr>
          <w:rFonts w:ascii="Arial" w:eastAsia="Times New Roman" w:hAnsi="Arial" w:cs="Arial"/>
          <w:b/>
          <w:bCs/>
          <w:color w:val="000000"/>
          <w:sz w:val="24"/>
          <w:szCs w:val="24"/>
          <w:lang w:eastAsia="es-BO"/>
        </w:rPr>
        <w:t>1934.7446 ha”</w:t>
      </w:r>
      <w:r w:rsidRPr="00CE0B87">
        <w:rPr>
          <w:rFonts w:ascii="Arial" w:eastAsia="Times New Roman" w:hAnsi="Arial" w:cs="Arial"/>
          <w:color w:val="000000"/>
          <w:sz w:val="24"/>
          <w:szCs w:val="24"/>
          <w:lang w:eastAsia="es-BO"/>
        </w:rPr>
        <w:t> y respecto del predio Ayacucho I, reconocer Vía Conversión la superficie de </w:t>
      </w:r>
      <w:r w:rsidRPr="00CE0B87">
        <w:rPr>
          <w:rFonts w:ascii="Arial" w:eastAsia="Times New Roman" w:hAnsi="Arial" w:cs="Arial"/>
          <w:b/>
          <w:bCs/>
          <w:color w:val="000000"/>
          <w:sz w:val="24"/>
          <w:szCs w:val="24"/>
          <w:lang w:eastAsia="es-BO"/>
        </w:rPr>
        <w:t>“809.0712 ha”</w:t>
      </w:r>
      <w:r w:rsidRPr="00CE0B87">
        <w:rPr>
          <w:rFonts w:ascii="Arial" w:eastAsia="Times New Roman" w:hAnsi="Arial" w:cs="Arial"/>
          <w:color w:val="000000"/>
          <w:sz w:val="24"/>
          <w:szCs w:val="24"/>
          <w:lang w:eastAsia="es-BO"/>
        </w:rPr>
        <w:t xml:space="preserve">; </w:t>
      </w:r>
      <w:r w:rsidR="00F206F0" w:rsidRPr="00CE0B87">
        <w:rPr>
          <w:rFonts w:ascii="Arial" w:eastAsia="Times New Roman" w:hAnsi="Arial" w:cs="Arial"/>
          <w:color w:val="000000"/>
          <w:sz w:val="24"/>
          <w:szCs w:val="24"/>
          <w:lang w:eastAsia="es-BO"/>
        </w:rPr>
        <w:t>Asimismo</w:t>
      </w:r>
      <w:r w:rsidR="00C06B89">
        <w:rPr>
          <w:rFonts w:ascii="Arial" w:eastAsia="Times New Roman" w:hAnsi="Arial" w:cs="Arial"/>
          <w:color w:val="000000"/>
          <w:sz w:val="24"/>
          <w:szCs w:val="24"/>
          <w:lang w:eastAsia="es-BO"/>
        </w:rPr>
        <w:t>,</w:t>
      </w:r>
      <w:r w:rsidR="00F206F0" w:rsidRPr="00CE0B87">
        <w:rPr>
          <w:rFonts w:ascii="Arial" w:eastAsia="Times New Roman" w:hAnsi="Arial" w:cs="Arial"/>
          <w:color w:val="000000"/>
          <w:sz w:val="24"/>
          <w:szCs w:val="24"/>
          <w:lang w:eastAsia="es-BO"/>
        </w:rPr>
        <w:t xml:space="preserve"> de acuerdo al informe </w:t>
      </w:r>
      <w:r w:rsidR="00F206F0" w:rsidRPr="00CE0B87">
        <w:rPr>
          <w:rFonts w:ascii="Arial" w:eastAsia="Times New Roman" w:hAnsi="Arial" w:cs="Arial"/>
          <w:color w:val="000000"/>
          <w:sz w:val="24"/>
          <w:szCs w:val="24"/>
          <w:lang w:val="es-ES" w:eastAsia="es-BO"/>
        </w:rPr>
        <w:t>Técnico legal DGST-INF-SAN N° 285/2021, de 24 de septiembre de 2021</w:t>
      </w:r>
      <w:r w:rsidR="00DC56F9" w:rsidRPr="00CE0B87">
        <w:rPr>
          <w:rFonts w:ascii="Arial" w:eastAsia="Times New Roman" w:hAnsi="Arial" w:cs="Arial"/>
          <w:color w:val="000000"/>
          <w:sz w:val="24"/>
          <w:szCs w:val="24"/>
          <w:lang w:val="es-ES" w:eastAsia="es-BO"/>
        </w:rPr>
        <w:t xml:space="preserve">, elaborado por funcionarios de la Dirección Nacional del Instituto Nacional de Reforma Agraria </w:t>
      </w:r>
      <w:r w:rsidR="007815A7" w:rsidRPr="00CE0B87">
        <w:rPr>
          <w:rFonts w:ascii="Arial" w:eastAsia="Times New Roman" w:hAnsi="Arial" w:cs="Arial"/>
          <w:b/>
          <w:bCs/>
          <w:color w:val="000000"/>
          <w:sz w:val="24"/>
          <w:szCs w:val="24"/>
          <w:lang w:eastAsia="es-BO"/>
        </w:rPr>
        <w:t xml:space="preserve">(I.5.1.22.), </w:t>
      </w:r>
      <w:r w:rsidR="00DC56F9" w:rsidRPr="00CE0B87">
        <w:rPr>
          <w:rFonts w:ascii="Arial" w:eastAsia="Times New Roman" w:hAnsi="Arial" w:cs="Arial"/>
          <w:bCs/>
          <w:color w:val="000000"/>
          <w:sz w:val="24"/>
          <w:szCs w:val="24"/>
          <w:lang w:eastAsia="es-BO"/>
        </w:rPr>
        <w:t>donde se</w:t>
      </w:r>
      <w:r w:rsidR="00DC56F9" w:rsidRPr="00CE0B87">
        <w:rPr>
          <w:rFonts w:ascii="Arial" w:eastAsia="Times New Roman" w:hAnsi="Arial" w:cs="Arial"/>
          <w:b/>
          <w:bCs/>
          <w:color w:val="000000"/>
          <w:sz w:val="24"/>
          <w:szCs w:val="24"/>
          <w:lang w:eastAsia="es-BO"/>
        </w:rPr>
        <w:t xml:space="preserve"> </w:t>
      </w:r>
      <w:r w:rsidR="007815A7" w:rsidRPr="00CE0B87">
        <w:rPr>
          <w:rFonts w:ascii="Arial" w:eastAsia="Times New Roman" w:hAnsi="Arial" w:cs="Arial"/>
          <w:bCs/>
          <w:color w:val="000000"/>
          <w:sz w:val="24"/>
          <w:szCs w:val="24"/>
          <w:lang w:eastAsia="es-BO"/>
        </w:rPr>
        <w:t>hace referencia a la sobreposicion de</w:t>
      </w:r>
      <w:r w:rsidR="00DC56F9" w:rsidRPr="00CE0B87">
        <w:rPr>
          <w:rFonts w:ascii="Arial" w:eastAsia="Times New Roman" w:hAnsi="Arial" w:cs="Arial"/>
          <w:bCs/>
          <w:color w:val="000000"/>
          <w:sz w:val="24"/>
          <w:szCs w:val="24"/>
          <w:lang w:eastAsia="es-BO"/>
        </w:rPr>
        <w:t>l expediente agrario N° 12395, estableciendo erróneos datos de sobreposicion en los diferentes informes de relevamiento de expedientes</w:t>
      </w:r>
      <w:r w:rsidR="007815A7" w:rsidRPr="00CE0B87">
        <w:rPr>
          <w:rFonts w:ascii="Arial" w:eastAsia="Times New Roman" w:hAnsi="Arial" w:cs="Arial"/>
          <w:bCs/>
          <w:color w:val="000000"/>
          <w:sz w:val="24"/>
          <w:szCs w:val="24"/>
          <w:lang w:eastAsia="es-BO"/>
        </w:rPr>
        <w:t xml:space="preserve">. Conforme el Informe técnico TA-DTE N° 010/2024 de 16 de agosto de 2024, elaborado por el Departamento Técnico Especializado del Tribunal Agroambiental </w:t>
      </w:r>
      <w:r w:rsidR="007815A7" w:rsidRPr="00CE0B87">
        <w:rPr>
          <w:rFonts w:ascii="Arial" w:eastAsia="Times New Roman" w:hAnsi="Arial" w:cs="Arial"/>
          <w:b/>
          <w:bCs/>
          <w:color w:val="000000"/>
          <w:sz w:val="24"/>
          <w:szCs w:val="24"/>
          <w:lang w:eastAsia="es-BO"/>
        </w:rPr>
        <w:t>(</w:t>
      </w:r>
      <w:r w:rsidR="007815A7" w:rsidRPr="00CE0B87">
        <w:rPr>
          <w:rFonts w:ascii="Arial" w:eastAsia="Times New Roman" w:hAnsi="Arial" w:cs="Arial"/>
          <w:b/>
          <w:bCs/>
          <w:color w:val="000000"/>
          <w:sz w:val="24"/>
          <w:szCs w:val="24"/>
          <w:lang w:val="es-ES_tradnl" w:eastAsia="es-BO"/>
        </w:rPr>
        <w:t xml:space="preserve">I.5.2.6.), </w:t>
      </w:r>
      <w:r w:rsidR="007815A7" w:rsidRPr="00CE0B87">
        <w:rPr>
          <w:rFonts w:ascii="Arial" w:eastAsia="Times New Roman" w:hAnsi="Arial" w:cs="Arial"/>
          <w:bCs/>
          <w:color w:val="000000"/>
          <w:sz w:val="24"/>
          <w:szCs w:val="24"/>
          <w:lang w:val="es-ES_tradnl" w:eastAsia="es-BO"/>
        </w:rPr>
        <w:t xml:space="preserve">respecto a la sobreposicion del expediente agrario N° 12395 B, concluye que se sobrepone al predio AYACUCHO en una superficie de 1329.1207 ha, y al predio AYACUCHO I, en una superficie de 635.8688 ha. </w:t>
      </w:r>
    </w:p>
    <w:p w14:paraId="2E9A9B5B" w14:textId="313F25F2" w:rsidR="00820DA6" w:rsidRPr="00CE0B87" w:rsidRDefault="007815A7"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D</w:t>
      </w:r>
      <w:r w:rsidR="00820DA6" w:rsidRPr="00CE0B87">
        <w:rPr>
          <w:rFonts w:ascii="Arial" w:eastAsia="Times New Roman" w:hAnsi="Arial" w:cs="Arial"/>
          <w:color w:val="000000"/>
          <w:sz w:val="24"/>
          <w:szCs w:val="24"/>
          <w:lang w:eastAsia="es-BO"/>
        </w:rPr>
        <w:t xml:space="preserve">e lo </w:t>
      </w:r>
      <w:r w:rsidRPr="00CE0B87">
        <w:rPr>
          <w:rFonts w:ascii="Arial" w:eastAsia="Times New Roman" w:hAnsi="Arial" w:cs="Arial"/>
          <w:color w:val="000000"/>
          <w:sz w:val="24"/>
          <w:szCs w:val="24"/>
          <w:lang w:eastAsia="es-BO"/>
        </w:rPr>
        <w:t xml:space="preserve">expuesto </w:t>
      </w:r>
      <w:r w:rsidR="00820DA6" w:rsidRPr="00CE0B87">
        <w:rPr>
          <w:rFonts w:ascii="Arial" w:eastAsia="Times New Roman" w:hAnsi="Arial" w:cs="Arial"/>
          <w:color w:val="000000"/>
          <w:sz w:val="24"/>
          <w:szCs w:val="24"/>
          <w:lang w:eastAsia="es-BO"/>
        </w:rPr>
        <w:t>se advierte contradicción respecto a las superficies sobrepuestas a los predios referidos y a ser reconocidas Vía Conversión, no evidenciándose en antecedentes del proceso de saneamiento sustento técnico que dé cuenta de qué superficie se encuentra sobrepuestas a los referidos predios, situación que genera inseguridad jurídica, e</w:t>
      </w:r>
      <w:r w:rsidR="00820DA6" w:rsidRPr="00CE0B87">
        <w:rPr>
          <w:rFonts w:ascii="Arial" w:eastAsia="Times New Roman" w:hAnsi="Arial" w:cs="Arial"/>
          <w:color w:val="000000"/>
          <w:sz w:val="24"/>
          <w:szCs w:val="24"/>
          <w:lang w:val="es-ES" w:eastAsia="es-BO"/>
        </w:rPr>
        <w:t>n tal razón al identificarse estas contradicciones corresponderá a la autoridad administrativa verificar técnicamente o identificar concretamente la sobreposición de los expedientes en los predios saneados, tarea que fue erróneamente aplicada y valorada por el INRA, incumpliéndose el art. 292-I a) y 304.b) del D.S. N° 29215.  </w:t>
      </w:r>
    </w:p>
    <w:p w14:paraId="7C46C0E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otra parte, con relación a la valoración del </w:t>
      </w:r>
      <w:proofErr w:type="spellStart"/>
      <w:r w:rsidRPr="00CE0B87">
        <w:rPr>
          <w:rFonts w:ascii="Arial" w:eastAsia="Times New Roman" w:hAnsi="Arial" w:cs="Arial"/>
          <w:b/>
          <w:bCs/>
          <w:color w:val="000000"/>
          <w:sz w:val="24"/>
          <w:szCs w:val="24"/>
          <w:lang w:val="es-ES" w:eastAsia="es-BO"/>
        </w:rPr>
        <w:t>Exp</w:t>
      </w:r>
      <w:proofErr w:type="spellEnd"/>
      <w:r w:rsidRPr="00CE0B87">
        <w:rPr>
          <w:rFonts w:ascii="Arial" w:eastAsia="Times New Roman" w:hAnsi="Arial" w:cs="Arial"/>
          <w:b/>
          <w:bCs/>
          <w:color w:val="000000"/>
          <w:sz w:val="24"/>
          <w:szCs w:val="24"/>
          <w:lang w:val="es-ES" w:eastAsia="es-BO"/>
        </w:rPr>
        <w:t>. N° 20519</w:t>
      </w:r>
      <w:r w:rsidRPr="00CE0B87">
        <w:rPr>
          <w:rFonts w:ascii="Arial" w:eastAsia="Times New Roman" w:hAnsi="Arial" w:cs="Arial"/>
          <w:color w:val="000000"/>
          <w:sz w:val="24"/>
          <w:szCs w:val="24"/>
          <w:lang w:val="es-ES" w:eastAsia="es-BO"/>
        </w:rPr>
        <w:t> “Santa Rita”, </w:t>
      </w:r>
      <w:r w:rsidRPr="00CE0B87">
        <w:rPr>
          <w:rFonts w:ascii="Arial" w:eastAsia="Times New Roman" w:hAnsi="Arial" w:cs="Arial"/>
          <w:color w:val="000000"/>
          <w:sz w:val="24"/>
          <w:szCs w:val="24"/>
          <w:lang w:eastAsia="es-BO"/>
        </w:rPr>
        <w:t>el Informe Técnico Complementario al Diagnóstico DDSC-CO-I-INF. N° 2134/2015 de 29 de junio de 2015 </w:t>
      </w:r>
      <w:r w:rsidRPr="00CE0B87">
        <w:rPr>
          <w:rFonts w:ascii="Arial" w:eastAsia="Times New Roman" w:hAnsi="Arial" w:cs="Arial"/>
          <w:b/>
          <w:bCs/>
          <w:color w:val="000000"/>
          <w:sz w:val="24"/>
          <w:szCs w:val="24"/>
          <w:lang w:eastAsia="es-BO"/>
        </w:rPr>
        <w:t>(I.5.1.19.)</w:t>
      </w:r>
      <w:r w:rsidRPr="00CE0B87">
        <w:rPr>
          <w:rFonts w:ascii="Arial" w:eastAsia="Times New Roman" w:hAnsi="Arial" w:cs="Arial"/>
          <w:color w:val="000000"/>
          <w:sz w:val="24"/>
          <w:szCs w:val="24"/>
          <w:lang w:eastAsia="es-BO"/>
        </w:rPr>
        <w:t>, señala que el citado expediente se sobrepone al predio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en 96.5701 ha, información que conforme señala la parte actora, resulta ser contradictoria, toda vez que, en el Informe Técnico INF/VT/DGT/UST/0131-2021 </w:t>
      </w:r>
      <w:r w:rsidRPr="00CE0B87">
        <w:rPr>
          <w:rFonts w:ascii="Arial" w:eastAsia="Times New Roman" w:hAnsi="Arial" w:cs="Arial"/>
          <w:b/>
          <w:bCs/>
          <w:color w:val="000000"/>
          <w:sz w:val="24"/>
          <w:szCs w:val="24"/>
          <w:lang w:eastAsia="es-BO"/>
        </w:rPr>
        <w:t>(</w:t>
      </w:r>
      <w:r w:rsidRPr="00CE0B87">
        <w:rPr>
          <w:rFonts w:ascii="Arial" w:eastAsia="Times New Roman" w:hAnsi="Arial" w:cs="Arial"/>
          <w:b/>
          <w:bCs/>
          <w:color w:val="000000"/>
          <w:sz w:val="24"/>
          <w:szCs w:val="24"/>
          <w:lang w:val="es-ES_tradnl" w:eastAsia="es-BO"/>
        </w:rPr>
        <w:t>I.5.2.1.),</w:t>
      </w:r>
      <w:r w:rsidRPr="00CE0B87">
        <w:rPr>
          <w:rFonts w:ascii="Arial" w:eastAsia="Times New Roman" w:hAnsi="Arial" w:cs="Arial"/>
          <w:color w:val="000000"/>
          <w:sz w:val="24"/>
          <w:szCs w:val="24"/>
          <w:lang w:val="es-ES_tradnl" w:eastAsia="es-BO"/>
        </w:rPr>
        <w:t> </w:t>
      </w:r>
      <w:r w:rsidRPr="00CE0B87">
        <w:rPr>
          <w:rFonts w:ascii="Arial" w:eastAsia="Times New Roman" w:hAnsi="Arial" w:cs="Arial"/>
          <w:color w:val="000000"/>
          <w:sz w:val="24"/>
          <w:szCs w:val="24"/>
          <w:lang w:eastAsia="es-BO"/>
        </w:rPr>
        <w:t xml:space="preserve">en el acápite (n) fs. 22, con relación al análisis de plano de transferencia “Santa Rita”, identifica que del plano de transferencia de 217.0895 ha, no se sobrepone al </w:t>
      </w:r>
      <w:proofErr w:type="spellStart"/>
      <w:r w:rsidRPr="00CE0B87">
        <w:rPr>
          <w:rFonts w:ascii="Arial" w:eastAsia="Times New Roman" w:hAnsi="Arial" w:cs="Arial"/>
          <w:color w:val="000000"/>
          <w:sz w:val="24"/>
          <w:szCs w:val="24"/>
          <w:lang w:eastAsia="es-BO"/>
        </w:rPr>
        <w:t>Exp</w:t>
      </w:r>
      <w:proofErr w:type="spellEnd"/>
      <w:r w:rsidRPr="00CE0B87">
        <w:rPr>
          <w:rFonts w:ascii="Arial" w:eastAsia="Times New Roman" w:hAnsi="Arial" w:cs="Arial"/>
          <w:color w:val="000000"/>
          <w:sz w:val="24"/>
          <w:szCs w:val="24"/>
          <w:lang w:eastAsia="es-BO"/>
        </w:rPr>
        <w:t xml:space="preserve">. N° 20519, aspecto que deberá ser verificado por la Autoridad Administrativa, independientemente a que este expediente no haya sido valorado y considerado en el proceso de saneamiento; no obstante, se debe </w:t>
      </w:r>
      <w:r w:rsidRPr="00CE0B87">
        <w:rPr>
          <w:rFonts w:ascii="Arial" w:eastAsia="Times New Roman" w:hAnsi="Arial" w:cs="Arial"/>
          <w:color w:val="000000"/>
          <w:sz w:val="24"/>
          <w:szCs w:val="24"/>
          <w:lang w:eastAsia="es-BO"/>
        </w:rPr>
        <w:lastRenderedPageBreak/>
        <w:t>dilucidar ese hecho, considerando que la superficie según el expediente N° 20519 es de 2209,5000 ha y la superficie que fue valorada en la Resolución Suprema N° 07818 de 31 de mayo de 2012 (fs. 1081 a 1085) es de 1105,2823 ha.</w:t>
      </w:r>
    </w:p>
    <w:p w14:paraId="41627B3D"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De otra parte, este Tribunal no puede ingresar a analizar la figura de estelionato como señala la parte actora, dado que dicho extremo debe ser analizado en la vía correspondiente llamada por Ley.</w:t>
      </w:r>
    </w:p>
    <w:p w14:paraId="7A1EA49B" w14:textId="2C1FBC31"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 xml:space="preserve">Respecto a la documentación presentada por el tercero interesado, </w:t>
      </w:r>
      <w:proofErr w:type="spellStart"/>
      <w:r w:rsidRPr="00CE0B87">
        <w:rPr>
          <w:rFonts w:ascii="Arial" w:eastAsia="Times New Roman" w:hAnsi="Arial" w:cs="Arial"/>
          <w:color w:val="000000"/>
          <w:sz w:val="24"/>
          <w:szCs w:val="24"/>
          <w:lang w:eastAsia="es-BO"/>
        </w:rPr>
        <w:t>Randolfo</w:t>
      </w:r>
      <w:proofErr w:type="spellEnd"/>
      <w:r w:rsidRPr="00CE0B87">
        <w:rPr>
          <w:rFonts w:ascii="Arial" w:eastAsia="Times New Roman" w:hAnsi="Arial" w:cs="Arial"/>
          <w:color w:val="000000"/>
          <w:sz w:val="24"/>
          <w:szCs w:val="24"/>
          <w:lang w:eastAsia="es-BO"/>
        </w:rPr>
        <w:t xml:space="preserve"> Saravia Flores (beneficiario del predio </w:t>
      </w:r>
      <w:proofErr w:type="spellStart"/>
      <w:r w:rsidRPr="00CE0B87">
        <w:rPr>
          <w:rFonts w:ascii="Arial" w:eastAsia="Times New Roman" w:hAnsi="Arial" w:cs="Arial"/>
          <w:color w:val="000000"/>
          <w:sz w:val="24"/>
          <w:szCs w:val="24"/>
          <w:lang w:eastAsia="es-BO"/>
        </w:rPr>
        <w:t>Tunuma</w:t>
      </w:r>
      <w:proofErr w:type="spellEnd"/>
      <w:r w:rsidRPr="00CE0B87">
        <w:rPr>
          <w:rFonts w:ascii="Arial" w:eastAsia="Times New Roman" w:hAnsi="Arial" w:cs="Arial"/>
          <w:color w:val="000000"/>
          <w:sz w:val="24"/>
          <w:szCs w:val="24"/>
          <w:lang w:eastAsia="es-BO"/>
        </w:rPr>
        <w:t>), cursantes de fs. 376 a 412, consistentes en el Registro de Marcas, Señales y Carimbos de 15 de mayo de 2017, Extracto de Guías de movimiento animal (GMA) (enero 2022 a mayo 2022, enero 2021 a diciembre 2021, enero 2020 a diciembre 2020 y enero 2019 a diciembre 2019), Certificados de vacunación contra la fiebre aftosa (gestiones 2022, 2021, 2020), Impuesto a la propiedad de bienes inmuebles gestión 2020, Pre-Liquidación de pago de impuestos de 2021, Formulario 701v.3 (</w:t>
      </w:r>
      <w:proofErr w:type="spellStart"/>
      <w:r w:rsidRPr="00CE0B87">
        <w:rPr>
          <w:rFonts w:ascii="Arial" w:eastAsia="Times New Roman" w:hAnsi="Arial" w:cs="Arial"/>
          <w:color w:val="000000"/>
          <w:sz w:val="24"/>
          <w:szCs w:val="24"/>
          <w:lang w:eastAsia="es-BO"/>
        </w:rPr>
        <w:t>Regimen</w:t>
      </w:r>
      <w:proofErr w:type="spellEnd"/>
      <w:r w:rsidRPr="00CE0B87">
        <w:rPr>
          <w:rFonts w:ascii="Arial" w:eastAsia="Times New Roman" w:hAnsi="Arial" w:cs="Arial"/>
          <w:color w:val="000000"/>
          <w:sz w:val="24"/>
          <w:szCs w:val="24"/>
          <w:lang w:eastAsia="es-BO"/>
        </w:rPr>
        <w:t xml:space="preserve"> Agropecuario Unificado), Boleta de transferencia  de 18 de octubre de 2021, NIT N° 2999402011, Certificado de Registro de Establecimientos Avícolas CR-EAV N° 07-14332, Resolución Administrativa RD-ABT-DDSC-POP N° 01184/2015, Dictamen </w:t>
      </w:r>
      <w:proofErr w:type="spellStart"/>
      <w:r w:rsidRPr="00CE0B87">
        <w:rPr>
          <w:rFonts w:ascii="Arial" w:eastAsia="Times New Roman" w:hAnsi="Arial" w:cs="Arial"/>
          <w:color w:val="000000"/>
          <w:sz w:val="24"/>
          <w:szCs w:val="24"/>
          <w:lang w:eastAsia="es-BO"/>
        </w:rPr>
        <w:t>MDRyT</w:t>
      </w:r>
      <w:proofErr w:type="spellEnd"/>
      <w:r w:rsidRPr="00CE0B87">
        <w:rPr>
          <w:rFonts w:ascii="Arial" w:eastAsia="Times New Roman" w:hAnsi="Arial" w:cs="Arial"/>
          <w:color w:val="000000"/>
          <w:sz w:val="24"/>
          <w:szCs w:val="24"/>
          <w:lang w:eastAsia="es-BO"/>
        </w:rPr>
        <w:t xml:space="preserve">/UCAB/DT N° 055/2015 de 21 de diciembre de 2015, Dictamen </w:t>
      </w:r>
      <w:proofErr w:type="spellStart"/>
      <w:r w:rsidRPr="00CE0B87">
        <w:rPr>
          <w:rFonts w:ascii="Arial" w:eastAsia="Times New Roman" w:hAnsi="Arial" w:cs="Arial"/>
          <w:color w:val="000000"/>
          <w:sz w:val="24"/>
          <w:szCs w:val="24"/>
          <w:lang w:eastAsia="es-BO"/>
        </w:rPr>
        <w:t>MDRyT</w:t>
      </w:r>
      <w:proofErr w:type="spellEnd"/>
      <w:r w:rsidRPr="00CE0B87">
        <w:rPr>
          <w:rFonts w:ascii="Arial" w:eastAsia="Times New Roman" w:hAnsi="Arial" w:cs="Arial"/>
          <w:color w:val="000000"/>
          <w:sz w:val="24"/>
          <w:szCs w:val="24"/>
          <w:lang w:eastAsia="es-BO"/>
        </w:rPr>
        <w:t xml:space="preserve">/UCAB/DT N° 013/2016 de 24 de junio del 2016, Dictamen </w:t>
      </w:r>
      <w:proofErr w:type="spellStart"/>
      <w:r w:rsidRPr="00CE0B87">
        <w:rPr>
          <w:rFonts w:ascii="Arial" w:eastAsia="Times New Roman" w:hAnsi="Arial" w:cs="Arial"/>
          <w:color w:val="000000"/>
          <w:sz w:val="24"/>
          <w:szCs w:val="24"/>
          <w:lang w:eastAsia="es-BO"/>
        </w:rPr>
        <w:t>MDRyT</w:t>
      </w:r>
      <w:proofErr w:type="spellEnd"/>
      <w:r w:rsidRPr="00CE0B87">
        <w:rPr>
          <w:rFonts w:ascii="Arial" w:eastAsia="Times New Roman" w:hAnsi="Arial" w:cs="Arial"/>
          <w:color w:val="000000"/>
          <w:sz w:val="24"/>
          <w:szCs w:val="24"/>
          <w:lang w:eastAsia="es-BO"/>
        </w:rPr>
        <w:t xml:space="preserve">/UCAB/DT N° 743/2017 de 31 de julio de 2017, Dictamen </w:t>
      </w:r>
      <w:proofErr w:type="spellStart"/>
      <w:r w:rsidRPr="00CE0B87">
        <w:rPr>
          <w:rFonts w:ascii="Arial" w:eastAsia="Times New Roman" w:hAnsi="Arial" w:cs="Arial"/>
          <w:color w:val="000000"/>
          <w:sz w:val="24"/>
          <w:szCs w:val="24"/>
          <w:lang w:eastAsia="es-BO"/>
        </w:rPr>
        <w:t>MDRyT</w:t>
      </w:r>
      <w:proofErr w:type="spellEnd"/>
      <w:r w:rsidRPr="00CE0B87">
        <w:rPr>
          <w:rFonts w:ascii="Arial" w:eastAsia="Times New Roman" w:hAnsi="Arial" w:cs="Arial"/>
          <w:color w:val="000000"/>
          <w:sz w:val="24"/>
          <w:szCs w:val="24"/>
          <w:lang w:eastAsia="es-BO"/>
        </w:rPr>
        <w:t xml:space="preserve">/UCAB/DT N° 1801/2018 de 02 de mayo de 2018 y fotocopia simple de Cédula de Identidad perteneciente a </w:t>
      </w:r>
      <w:proofErr w:type="spellStart"/>
      <w:r w:rsidRPr="00CE0B87">
        <w:rPr>
          <w:rFonts w:ascii="Arial" w:eastAsia="Times New Roman" w:hAnsi="Arial" w:cs="Arial"/>
          <w:color w:val="000000"/>
          <w:sz w:val="24"/>
          <w:szCs w:val="24"/>
          <w:lang w:eastAsia="es-BO"/>
        </w:rPr>
        <w:t>Randolfo</w:t>
      </w:r>
      <w:proofErr w:type="spellEnd"/>
      <w:r w:rsidRPr="00CE0B87">
        <w:rPr>
          <w:rFonts w:ascii="Arial" w:eastAsia="Times New Roman" w:hAnsi="Arial" w:cs="Arial"/>
          <w:color w:val="000000"/>
          <w:sz w:val="24"/>
          <w:szCs w:val="24"/>
          <w:lang w:eastAsia="es-BO"/>
        </w:rPr>
        <w:t xml:space="preserve"> Saravia Flores; si bien adjunta estos medios de prueba; sin embargo, las mismas no enervan ni desvirtúan el problema jurídico planteado por la parte actora cual es la </w:t>
      </w:r>
      <w:proofErr w:type="spellStart"/>
      <w:r w:rsidRPr="00CE0B87">
        <w:rPr>
          <w:rFonts w:ascii="Arial" w:eastAsia="Times New Roman" w:hAnsi="Arial" w:cs="Arial"/>
          <w:color w:val="000000"/>
          <w:sz w:val="24"/>
          <w:szCs w:val="24"/>
          <w:lang w:eastAsia="es-BO"/>
        </w:rPr>
        <w:t>sobreposición</w:t>
      </w:r>
      <w:proofErr w:type="spellEnd"/>
      <w:r w:rsidRPr="00CE0B87">
        <w:rPr>
          <w:rFonts w:ascii="Arial" w:eastAsia="Times New Roman" w:hAnsi="Arial" w:cs="Arial"/>
          <w:color w:val="000000"/>
          <w:sz w:val="24"/>
          <w:szCs w:val="24"/>
          <w:lang w:eastAsia="es-BO"/>
        </w:rPr>
        <w:t xml:space="preserve"> del expediente al predio </w:t>
      </w:r>
      <w:r w:rsidR="00C06B89">
        <w:rPr>
          <w:rFonts w:ascii="Arial" w:eastAsia="Times New Roman" w:hAnsi="Arial" w:cs="Arial"/>
          <w:color w:val="000000"/>
          <w:sz w:val="24"/>
          <w:szCs w:val="24"/>
          <w:lang w:eastAsia="es-BO"/>
        </w:rPr>
        <w:t>“</w:t>
      </w:r>
      <w:proofErr w:type="spellStart"/>
      <w:r w:rsidRPr="00CE0B87">
        <w:rPr>
          <w:rFonts w:ascii="Arial" w:eastAsia="Times New Roman" w:hAnsi="Arial" w:cs="Arial"/>
          <w:color w:val="000000"/>
          <w:sz w:val="24"/>
          <w:szCs w:val="24"/>
          <w:lang w:eastAsia="es-BO"/>
        </w:rPr>
        <w:t>Tunuma</w:t>
      </w:r>
      <w:proofErr w:type="spellEnd"/>
      <w:r w:rsidR="00C06B89">
        <w:rPr>
          <w:rFonts w:ascii="Arial" w:eastAsia="Times New Roman" w:hAnsi="Arial" w:cs="Arial"/>
          <w:color w:val="000000"/>
          <w:sz w:val="24"/>
          <w:szCs w:val="24"/>
          <w:lang w:eastAsia="es-BO"/>
        </w:rPr>
        <w:t>”</w:t>
      </w:r>
      <w:r w:rsidRPr="00CE0B87">
        <w:rPr>
          <w:rFonts w:ascii="Arial" w:eastAsia="Times New Roman" w:hAnsi="Arial" w:cs="Arial"/>
          <w:color w:val="000000"/>
          <w:sz w:val="24"/>
          <w:szCs w:val="24"/>
          <w:lang w:eastAsia="es-BO"/>
        </w:rPr>
        <w:t>.  </w:t>
      </w:r>
    </w:p>
    <w:p w14:paraId="049DB929"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FJ.III.4. Incumplimiento de las características de propiedad Mediana y Empresarial Agropecuaria.</w:t>
      </w:r>
    </w:p>
    <w:p w14:paraId="31D50E45"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Al respecto, conforme se tiene desarrollado en el </w:t>
      </w:r>
      <w:r w:rsidRPr="00CE0B87">
        <w:rPr>
          <w:rFonts w:ascii="Arial" w:eastAsia="Times New Roman" w:hAnsi="Arial" w:cs="Arial"/>
          <w:b/>
          <w:bCs/>
          <w:color w:val="000000"/>
          <w:sz w:val="24"/>
          <w:szCs w:val="24"/>
          <w:lang w:val="es-ES" w:eastAsia="es-BO"/>
        </w:rPr>
        <w:t>FJ.II.2.</w:t>
      </w:r>
      <w:r w:rsidRPr="00CE0B87">
        <w:rPr>
          <w:rFonts w:ascii="Arial" w:eastAsia="Times New Roman" w:hAnsi="Arial" w:cs="Arial"/>
          <w:color w:val="000000"/>
          <w:sz w:val="24"/>
          <w:szCs w:val="24"/>
          <w:lang w:val="es-ES" w:eastAsia="es-BO"/>
        </w:rPr>
        <w:t> y </w:t>
      </w:r>
      <w:r w:rsidRPr="00CE0B87">
        <w:rPr>
          <w:rFonts w:ascii="Arial" w:eastAsia="Times New Roman" w:hAnsi="Arial" w:cs="Arial"/>
          <w:b/>
          <w:bCs/>
          <w:color w:val="000000"/>
          <w:sz w:val="24"/>
          <w:szCs w:val="24"/>
          <w:lang w:val="es-ES" w:eastAsia="es-BO"/>
        </w:rPr>
        <w:t>FJ.II.3.</w:t>
      </w:r>
      <w:r w:rsidRPr="00CE0B87">
        <w:rPr>
          <w:rFonts w:ascii="Arial" w:eastAsia="Times New Roman" w:hAnsi="Arial" w:cs="Arial"/>
          <w:color w:val="000000"/>
          <w:sz w:val="24"/>
          <w:szCs w:val="24"/>
          <w:lang w:val="es-ES" w:eastAsia="es-BO"/>
        </w:rPr>
        <w:t>, de la presente resolución, se evidencia que de la revisión de antecedentes, de fs. 743 a </w:t>
      </w:r>
      <w:r w:rsidRPr="00CE0B87">
        <w:rPr>
          <w:rFonts w:ascii="Arial" w:eastAsia="Times New Roman" w:hAnsi="Arial" w:cs="Arial"/>
          <w:color w:val="000000"/>
          <w:sz w:val="24"/>
          <w:szCs w:val="24"/>
          <w:lang w:eastAsia="es-BO"/>
        </w:rPr>
        <w:t>746, cursa Ficha Catastral con relación al predio “Ayacucho”</w:t>
      </w:r>
      <w:r w:rsidRPr="00CE0B87">
        <w:rPr>
          <w:rFonts w:ascii="Arial" w:eastAsia="Times New Roman" w:hAnsi="Arial" w:cs="Arial"/>
          <w:b/>
          <w:bCs/>
          <w:color w:val="000000"/>
          <w:sz w:val="24"/>
          <w:szCs w:val="24"/>
          <w:lang w:eastAsia="es-BO"/>
        </w:rPr>
        <w:t> (I.5.1.9.)</w:t>
      </w:r>
      <w:r w:rsidRPr="00CE0B87">
        <w:rPr>
          <w:rFonts w:ascii="Arial" w:eastAsia="Times New Roman" w:hAnsi="Arial" w:cs="Arial"/>
          <w:color w:val="000000"/>
          <w:sz w:val="24"/>
          <w:szCs w:val="24"/>
          <w:lang w:eastAsia="es-BO"/>
        </w:rPr>
        <w:t xml:space="preserve">, en la que se registra una superficie declarada de 4.000,0000 ha, a nombre de Diana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y </w:t>
      </w:r>
      <w:proofErr w:type="spellStart"/>
      <w:r w:rsidRPr="00CE0B87">
        <w:rPr>
          <w:rFonts w:ascii="Arial" w:eastAsia="Times New Roman" w:hAnsi="Arial" w:cs="Arial"/>
          <w:color w:val="000000"/>
          <w:sz w:val="24"/>
          <w:szCs w:val="24"/>
          <w:lang w:eastAsia="es-BO"/>
        </w:rPr>
        <w:t>Ayako</w:t>
      </w:r>
      <w:proofErr w:type="spellEnd"/>
      <w:r w:rsidRPr="00CE0B87">
        <w:rPr>
          <w:rFonts w:ascii="Arial" w:eastAsia="Times New Roman" w:hAnsi="Arial" w:cs="Arial"/>
          <w:color w:val="000000"/>
          <w:sz w:val="24"/>
          <w:szCs w:val="24"/>
          <w:lang w:eastAsia="es-BO"/>
        </w:rPr>
        <w:t xml:space="preserve"> Cecilia </w:t>
      </w:r>
      <w:proofErr w:type="spellStart"/>
      <w:r w:rsidRPr="00CE0B87">
        <w:rPr>
          <w:rFonts w:ascii="Arial" w:eastAsia="Times New Roman" w:hAnsi="Arial" w:cs="Arial"/>
          <w:color w:val="000000"/>
          <w:sz w:val="24"/>
          <w:szCs w:val="24"/>
          <w:lang w:eastAsia="es-BO"/>
        </w:rPr>
        <w:t>Kochi</w:t>
      </w:r>
      <w:proofErr w:type="spellEnd"/>
      <w:r w:rsidRPr="00CE0B87">
        <w:rPr>
          <w:rFonts w:ascii="Arial" w:eastAsia="Times New Roman" w:hAnsi="Arial" w:cs="Arial"/>
          <w:color w:val="000000"/>
          <w:sz w:val="24"/>
          <w:szCs w:val="24"/>
          <w:lang w:eastAsia="es-BO"/>
        </w:rPr>
        <w:t xml:space="preserve"> de </w:t>
      </w:r>
      <w:proofErr w:type="spellStart"/>
      <w:r w:rsidRPr="00CE0B87">
        <w:rPr>
          <w:rFonts w:ascii="Arial" w:eastAsia="Times New Roman" w:hAnsi="Arial" w:cs="Arial"/>
          <w:color w:val="000000"/>
          <w:sz w:val="24"/>
          <w:szCs w:val="24"/>
          <w:lang w:eastAsia="es-BO"/>
        </w:rPr>
        <w:t>Maeshiro</w:t>
      </w:r>
      <w:proofErr w:type="spellEnd"/>
      <w:r w:rsidRPr="00CE0B87">
        <w:rPr>
          <w:rFonts w:ascii="Arial" w:eastAsia="Times New Roman" w:hAnsi="Arial" w:cs="Arial"/>
          <w:color w:val="000000"/>
          <w:sz w:val="24"/>
          <w:szCs w:val="24"/>
          <w:lang w:eastAsia="es-BO"/>
        </w:rPr>
        <w:t xml:space="preserve"> y que refiere como documentación presentada documento de identidad, documento de compra y venta y otros documentos, de otra parte, a fs. 746, cursa “Acta de Apersonamiento y Recepción de Documentos”, en la cual se evidencia la presentación de los siguientes documentos: Cédula de identidad, documento de transferencias, plano referencial, certificado de vacunación, contratos de trabajadores y recibos, firmando en señal de conformidad Carlos Savilla Romero (Representante).</w:t>
      </w:r>
    </w:p>
    <w:p w14:paraId="559145A1" w14:textId="78F5CFAC"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lastRenderedPageBreak/>
        <w:t>Asimismo, de fs. 852 a 854 cursa Ficha Catastral con relación al predio “Ayacucho I”</w:t>
      </w:r>
      <w:r w:rsidRPr="00CE0B87">
        <w:rPr>
          <w:rFonts w:ascii="Arial" w:eastAsia="Times New Roman" w:hAnsi="Arial" w:cs="Arial"/>
          <w:b/>
          <w:bCs/>
          <w:color w:val="000000"/>
          <w:sz w:val="24"/>
          <w:szCs w:val="24"/>
          <w:lang w:eastAsia="es-BO"/>
        </w:rPr>
        <w:t> (I.5.1.16.)</w:t>
      </w:r>
      <w:r w:rsidRPr="00CE0B87">
        <w:rPr>
          <w:rFonts w:ascii="Arial" w:eastAsia="Times New Roman" w:hAnsi="Arial" w:cs="Arial"/>
          <w:color w:val="000000"/>
          <w:sz w:val="24"/>
          <w:szCs w:val="24"/>
          <w:lang w:eastAsia="es-BO"/>
        </w:rPr>
        <w:t xml:space="preserve">, se consigna una superficie declarada de 4.000,0000 ha, a nombre de Joaquín </w:t>
      </w:r>
      <w:proofErr w:type="spellStart"/>
      <w:r w:rsidRPr="00CE0B87">
        <w:rPr>
          <w:rFonts w:ascii="Arial" w:eastAsia="Times New Roman" w:hAnsi="Arial" w:cs="Arial"/>
          <w:color w:val="000000"/>
          <w:sz w:val="24"/>
          <w:szCs w:val="24"/>
          <w:lang w:eastAsia="es-BO"/>
        </w:rPr>
        <w:t>Eguez</w:t>
      </w:r>
      <w:proofErr w:type="spellEnd"/>
      <w:r w:rsidRPr="00CE0B87">
        <w:rPr>
          <w:rFonts w:ascii="Arial" w:eastAsia="Times New Roman" w:hAnsi="Arial" w:cs="Arial"/>
          <w:color w:val="000000"/>
          <w:sz w:val="24"/>
          <w:szCs w:val="24"/>
          <w:lang w:eastAsia="es-BO"/>
        </w:rPr>
        <w:t xml:space="preserve"> París, que refiere como documentación presentada Testimonio, Folio Real o tarjeta de propiedad, documento de identidad y documento de compra y venta, de otra parte, a fs. 854, cursa “Acta de Apersonamiento y Recepción de Documentos”, en la cual se evidencia la presentación de los siguientes documentos: Cédula de identidad, Testimonio N° 49/87 Transferencia, Testimonio N° 91 Transferencia, Folio Real DD.RR. N° 5189916, documento de transferencia, plano referencial, Certificado de vacunación, Contrato Individual de Trabajo, así como de las fotografías de mejoras no se evidencia el empleo de medios técnico modernos</w:t>
      </w:r>
      <w:r w:rsidR="00581E16">
        <w:rPr>
          <w:rFonts w:ascii="Arial" w:eastAsia="Times New Roman" w:hAnsi="Arial" w:cs="Arial"/>
          <w:color w:val="000000"/>
          <w:sz w:val="24"/>
          <w:szCs w:val="24"/>
          <w:lang w:eastAsia="es-BO"/>
        </w:rPr>
        <w:t xml:space="preserve"> en los predios AYACUCHO y AYACUCHO I</w:t>
      </w:r>
      <w:r w:rsidRPr="00CE0B87">
        <w:rPr>
          <w:rFonts w:ascii="Arial" w:eastAsia="Times New Roman" w:hAnsi="Arial" w:cs="Arial"/>
          <w:color w:val="000000"/>
          <w:sz w:val="24"/>
          <w:szCs w:val="24"/>
          <w:lang w:eastAsia="es-BO"/>
        </w:rPr>
        <w:t>.</w:t>
      </w:r>
    </w:p>
    <w:p w14:paraId="5CFF60E5" w14:textId="3F37DC00" w:rsidR="00581E16" w:rsidRDefault="00820DA6" w:rsidP="00CE0B87">
      <w:pPr>
        <w:spacing w:after="0" w:line="360" w:lineRule="auto"/>
        <w:jc w:val="both"/>
        <w:rPr>
          <w:rFonts w:ascii="Arial" w:eastAsia="Times New Roman" w:hAnsi="Arial" w:cs="Arial"/>
          <w:color w:val="000000"/>
          <w:sz w:val="24"/>
          <w:szCs w:val="24"/>
          <w:lang w:eastAsia="es-BO"/>
        </w:rPr>
      </w:pPr>
      <w:r w:rsidRPr="00CE0B87">
        <w:rPr>
          <w:rFonts w:ascii="Arial" w:eastAsia="Times New Roman" w:hAnsi="Arial" w:cs="Arial"/>
          <w:color w:val="000000"/>
          <w:sz w:val="24"/>
          <w:szCs w:val="24"/>
          <w:lang w:eastAsia="es-BO"/>
        </w:rPr>
        <w:t>Es así que, conforme a lo estipulado por el art. 41, parágrafo I, núm. 4 de la Ley N° 1715, refiere que, “</w:t>
      </w:r>
      <w:r w:rsidRPr="00CE0B87">
        <w:rPr>
          <w:rFonts w:ascii="Arial" w:eastAsia="Times New Roman" w:hAnsi="Arial" w:cs="Arial"/>
          <w:i/>
          <w:iCs/>
          <w:color w:val="000000"/>
          <w:sz w:val="24"/>
          <w:szCs w:val="24"/>
          <w:lang w:eastAsia="es-BO"/>
        </w:rPr>
        <w:t>La Empresa Agropecuaria es la que pertenece a personas naturales o jurídicas y se explota con capital suplementario, régimen de trabajo asalariados y </w:t>
      </w:r>
      <w:r w:rsidRPr="00CE0B87">
        <w:rPr>
          <w:rFonts w:ascii="Arial" w:eastAsia="Times New Roman" w:hAnsi="Arial" w:cs="Arial"/>
          <w:b/>
          <w:bCs/>
          <w:i/>
          <w:iCs/>
          <w:color w:val="000000"/>
          <w:sz w:val="24"/>
          <w:szCs w:val="24"/>
          <w:lang w:eastAsia="es-BO"/>
        </w:rPr>
        <w:t>empleo de medios técnico-modernos</w:t>
      </w:r>
      <w:r w:rsidRPr="00CE0B87">
        <w:rPr>
          <w:rFonts w:ascii="Arial" w:eastAsia="Times New Roman" w:hAnsi="Arial" w:cs="Arial"/>
          <w:color w:val="000000"/>
          <w:sz w:val="24"/>
          <w:szCs w:val="24"/>
          <w:lang w:eastAsia="es-BO"/>
        </w:rPr>
        <w:t>…”</w:t>
      </w:r>
      <w:r w:rsidR="00581E16">
        <w:rPr>
          <w:rFonts w:ascii="Arial" w:eastAsia="Times New Roman" w:hAnsi="Arial" w:cs="Arial"/>
          <w:color w:val="000000"/>
          <w:sz w:val="24"/>
          <w:szCs w:val="24"/>
          <w:lang w:eastAsia="es-BO"/>
        </w:rPr>
        <w:t>, (Las negrillas nos pertenece).</w:t>
      </w:r>
      <w:r w:rsidRPr="00CE0B87">
        <w:rPr>
          <w:rFonts w:ascii="Arial" w:eastAsia="Times New Roman" w:hAnsi="Arial" w:cs="Arial"/>
          <w:color w:val="000000"/>
          <w:sz w:val="24"/>
          <w:szCs w:val="24"/>
          <w:lang w:eastAsia="es-BO"/>
        </w:rPr>
        <w:t xml:space="preserve"> </w:t>
      </w:r>
    </w:p>
    <w:p w14:paraId="5888A73A" w14:textId="226A7F8E" w:rsidR="008D2D43" w:rsidRDefault="00820DA6" w:rsidP="008D2D43">
      <w:pPr>
        <w:spacing w:after="0" w:line="360" w:lineRule="auto"/>
        <w:jc w:val="both"/>
        <w:rPr>
          <w:rFonts w:ascii="Arial" w:eastAsia="Calibri" w:hAnsi="Arial" w:cs="Arial"/>
          <w:color w:val="000000"/>
          <w:sz w:val="24"/>
          <w:szCs w:val="24"/>
          <w:shd w:val="clear" w:color="auto" w:fill="FFFFFF"/>
        </w:rPr>
      </w:pPr>
      <w:r w:rsidRPr="00CE0B87">
        <w:rPr>
          <w:rFonts w:ascii="Arial" w:eastAsia="Times New Roman" w:hAnsi="Arial" w:cs="Arial"/>
          <w:color w:val="000000"/>
          <w:sz w:val="24"/>
          <w:szCs w:val="24"/>
          <w:lang w:val="es-ES" w:eastAsia="es-BO"/>
        </w:rPr>
        <w:t>Que</w:t>
      </w:r>
      <w:r w:rsidR="00581E16">
        <w:rPr>
          <w:rFonts w:ascii="Arial" w:eastAsia="Times New Roman" w:hAnsi="Arial" w:cs="Arial"/>
          <w:color w:val="000000"/>
          <w:sz w:val="24"/>
          <w:szCs w:val="24"/>
          <w:lang w:val="es-ES" w:eastAsia="es-BO"/>
        </w:rPr>
        <w:t>, de acuerdo a</w:t>
      </w:r>
      <w:r w:rsidRPr="00CE0B87">
        <w:rPr>
          <w:rFonts w:ascii="Arial" w:eastAsia="Times New Roman" w:hAnsi="Arial" w:cs="Arial"/>
          <w:color w:val="000000"/>
          <w:sz w:val="24"/>
          <w:szCs w:val="24"/>
          <w:lang w:val="es-ES" w:eastAsia="es-BO"/>
        </w:rPr>
        <w:t xml:space="preserve"> la Sentencia Agroambiental </w:t>
      </w:r>
      <w:r w:rsidR="008D2D43">
        <w:rPr>
          <w:rFonts w:ascii="Arial" w:eastAsia="Times New Roman" w:hAnsi="Arial" w:cs="Arial"/>
          <w:color w:val="000000"/>
          <w:sz w:val="24"/>
          <w:szCs w:val="24"/>
          <w:lang w:val="es-ES" w:eastAsia="es-BO"/>
        </w:rPr>
        <w:t>Nacional</w:t>
      </w:r>
      <w:r w:rsidRPr="00CE0B87">
        <w:rPr>
          <w:rFonts w:ascii="Arial" w:eastAsia="Times New Roman" w:hAnsi="Arial" w:cs="Arial"/>
          <w:color w:val="000000"/>
          <w:sz w:val="24"/>
          <w:szCs w:val="24"/>
          <w:lang w:val="es-ES" w:eastAsia="es-BO"/>
        </w:rPr>
        <w:t xml:space="preserve"> </w:t>
      </w:r>
      <w:r w:rsidR="008D2D43" w:rsidRPr="00537AE2">
        <w:rPr>
          <w:rFonts w:ascii="Arial" w:eastAsia="Calibri" w:hAnsi="Arial" w:cs="Arial"/>
          <w:color w:val="000000"/>
          <w:sz w:val="24"/>
          <w:szCs w:val="24"/>
          <w:shd w:val="clear" w:color="auto" w:fill="FFFFFF"/>
        </w:rPr>
        <w:t>SAN</w:t>
      </w:r>
      <w:r w:rsidR="008D2D43">
        <w:rPr>
          <w:rFonts w:ascii="Arial" w:eastAsia="Calibri" w:hAnsi="Arial" w:cs="Arial"/>
          <w:color w:val="000000"/>
          <w:sz w:val="24"/>
          <w:szCs w:val="24"/>
          <w:shd w:val="clear" w:color="auto" w:fill="FFFFFF"/>
        </w:rPr>
        <w:t xml:space="preserve"> </w:t>
      </w:r>
      <w:r w:rsidR="008D2D43" w:rsidRPr="00537AE2">
        <w:rPr>
          <w:rFonts w:ascii="Arial" w:eastAsia="Calibri" w:hAnsi="Arial" w:cs="Arial"/>
          <w:color w:val="000000"/>
          <w:sz w:val="24"/>
          <w:szCs w:val="24"/>
          <w:shd w:val="clear" w:color="auto" w:fill="FFFFFF"/>
        </w:rPr>
        <w:t>S1</w:t>
      </w:r>
      <w:r w:rsidR="008D2D43">
        <w:rPr>
          <w:rFonts w:ascii="Arial" w:eastAsia="Calibri" w:hAnsi="Arial" w:cs="Arial"/>
          <w:color w:val="000000"/>
          <w:sz w:val="24"/>
          <w:szCs w:val="24"/>
          <w:shd w:val="clear" w:color="auto" w:fill="FFFFFF"/>
        </w:rPr>
        <w:t xml:space="preserve">a </w:t>
      </w:r>
      <w:r w:rsidR="008D2D43" w:rsidRPr="00537AE2">
        <w:rPr>
          <w:rFonts w:ascii="Arial" w:eastAsia="Calibri" w:hAnsi="Arial" w:cs="Arial"/>
          <w:color w:val="000000"/>
          <w:sz w:val="24"/>
          <w:szCs w:val="24"/>
          <w:shd w:val="clear" w:color="auto" w:fill="FFFFFF"/>
        </w:rPr>
        <w:t>07</w:t>
      </w:r>
      <w:r w:rsidR="008D2D43">
        <w:rPr>
          <w:rFonts w:ascii="Arial" w:eastAsia="Calibri" w:hAnsi="Arial" w:cs="Arial"/>
          <w:color w:val="000000"/>
          <w:sz w:val="24"/>
          <w:szCs w:val="24"/>
          <w:shd w:val="clear" w:color="auto" w:fill="FFFFFF"/>
        </w:rPr>
        <w:t>/</w:t>
      </w:r>
      <w:r w:rsidR="008D2D43" w:rsidRPr="00537AE2">
        <w:rPr>
          <w:rFonts w:ascii="Arial" w:eastAsia="Calibri" w:hAnsi="Arial" w:cs="Arial"/>
          <w:color w:val="000000"/>
          <w:sz w:val="24"/>
          <w:szCs w:val="24"/>
          <w:shd w:val="clear" w:color="auto" w:fill="FFFFFF"/>
        </w:rPr>
        <w:t>2013</w:t>
      </w:r>
      <w:r w:rsidR="008D2D43">
        <w:rPr>
          <w:rFonts w:ascii="Arial" w:eastAsia="Calibri" w:hAnsi="Arial" w:cs="Arial"/>
          <w:color w:val="000000"/>
          <w:sz w:val="24"/>
          <w:szCs w:val="24"/>
          <w:shd w:val="clear" w:color="auto" w:fill="FFFFFF"/>
        </w:rPr>
        <w:t xml:space="preserve"> de 25 de marzo, resolución que refiriéndose a la identificación de medios técnico modernos manifestó:</w:t>
      </w:r>
    </w:p>
    <w:p w14:paraId="0D84529C" w14:textId="77777777" w:rsidR="008D2D43" w:rsidRDefault="008D2D43" w:rsidP="00024BAD">
      <w:pPr>
        <w:spacing w:after="0" w:line="360" w:lineRule="auto"/>
        <w:ind w:left="709"/>
        <w:jc w:val="both"/>
        <w:rPr>
          <w:rFonts w:ascii="Arial" w:eastAsia="Calibri" w:hAnsi="Arial" w:cs="Arial"/>
          <w:i/>
          <w:color w:val="000000"/>
          <w:sz w:val="24"/>
          <w:szCs w:val="24"/>
          <w:shd w:val="clear" w:color="auto" w:fill="FFFFFF"/>
        </w:rPr>
      </w:pPr>
      <w:r>
        <w:rPr>
          <w:rFonts w:ascii="Arial" w:eastAsia="Calibri" w:hAnsi="Arial" w:cs="Arial"/>
          <w:bCs/>
          <w:i/>
          <w:color w:val="000000"/>
          <w:sz w:val="24"/>
          <w:szCs w:val="24"/>
          <w:shd w:val="clear" w:color="auto" w:fill="FFFFFF"/>
        </w:rPr>
        <w:t>“</w:t>
      </w:r>
      <w:r w:rsidRPr="008D452C">
        <w:rPr>
          <w:rFonts w:ascii="Arial" w:eastAsia="Calibri" w:hAnsi="Arial" w:cs="Arial"/>
          <w:bCs/>
          <w:i/>
          <w:color w:val="000000"/>
          <w:sz w:val="24"/>
          <w:szCs w:val="24"/>
          <w:shd w:val="clear" w:color="auto" w:fill="FFFFFF"/>
        </w:rPr>
        <w:t xml:space="preserve">Los elementos primordiales e imprescindibles para determinar la actividad ganadera se basan en la constatación física, real y objetiva de cabezas de ganado mayor o menor en el predio sometido al proceso de reversión en el momento de relevamiento de información en campo así como la verificación de la marca y registro respectivo, </w:t>
      </w:r>
      <w:r w:rsidRPr="008D452C">
        <w:rPr>
          <w:rFonts w:ascii="Arial" w:eastAsia="Calibri" w:hAnsi="Arial" w:cs="Arial"/>
          <w:b/>
          <w:bCs/>
          <w:i/>
          <w:color w:val="000000"/>
          <w:sz w:val="24"/>
          <w:szCs w:val="24"/>
          <w:shd w:val="clear" w:color="auto" w:fill="FFFFFF"/>
        </w:rPr>
        <w:t>por lo que la infraestructura y los medios técnico modernos son elementos complementarios</w:t>
      </w:r>
      <w:r w:rsidRPr="008D452C">
        <w:rPr>
          <w:rFonts w:ascii="Arial" w:eastAsia="Calibri" w:hAnsi="Arial" w:cs="Arial"/>
          <w:bCs/>
          <w:i/>
          <w:color w:val="000000"/>
          <w:sz w:val="24"/>
          <w:szCs w:val="24"/>
          <w:shd w:val="clear" w:color="auto" w:fill="FFFFFF"/>
        </w:rPr>
        <w:t>, cuya falta no significa que en el predio no se desarrolle actividad ganadera para determinar el incumplimiento total de la FES y se sugiera la reversión total del predio a favor del Estado.</w:t>
      </w:r>
      <w:r w:rsidRPr="008D452C">
        <w:rPr>
          <w:rFonts w:ascii="Arial" w:eastAsia="Calibri" w:hAnsi="Arial" w:cs="Arial"/>
          <w:i/>
          <w:color w:val="000000"/>
          <w:sz w:val="24"/>
          <w:szCs w:val="24"/>
          <w:shd w:val="clear" w:color="auto" w:fill="FFFFFF"/>
        </w:rPr>
        <w:t> </w:t>
      </w:r>
      <w:r>
        <w:rPr>
          <w:rFonts w:ascii="Arial" w:eastAsia="Calibri" w:hAnsi="Arial" w:cs="Arial"/>
          <w:i/>
          <w:color w:val="000000"/>
          <w:sz w:val="24"/>
          <w:szCs w:val="24"/>
          <w:shd w:val="clear" w:color="auto" w:fill="FFFFFF"/>
        </w:rPr>
        <w:t>(el resaltado nos corresponde)</w:t>
      </w:r>
    </w:p>
    <w:p w14:paraId="4F9F51F0" w14:textId="0CE88DE1" w:rsidR="008D2D43" w:rsidRDefault="008D2D43" w:rsidP="008D2D43">
      <w:pPr>
        <w:spacing w:after="0" w:line="360" w:lineRule="auto"/>
        <w:jc w:val="both"/>
        <w:rPr>
          <w:rFonts w:ascii="Arial" w:eastAsia="Calibri" w:hAnsi="Arial" w:cs="Arial"/>
          <w:color w:val="000000"/>
          <w:sz w:val="24"/>
          <w:szCs w:val="24"/>
          <w:shd w:val="clear" w:color="auto" w:fill="FFFFFF"/>
        </w:rPr>
      </w:pPr>
      <w:r>
        <w:rPr>
          <w:rFonts w:ascii="Arial" w:eastAsia="Calibri" w:hAnsi="Arial" w:cs="Arial"/>
          <w:color w:val="000000"/>
          <w:sz w:val="24"/>
          <w:szCs w:val="24"/>
          <w:shd w:val="clear" w:color="auto" w:fill="FFFFFF"/>
        </w:rPr>
        <w:t>En este comprendido, se debe tomar en cuenta que, según la citada jurisprudencia, la verificación de infraestructura y los medios técnico modernos son elementos complementarios, sin embargo, los elementos primordiales, son, por un lado: La determinación de actividad ganadera basándose en la constatación física real y objetiva de cabezas de ganado; y por otro: La verificación de marca de ganado en el predio.</w:t>
      </w:r>
    </w:p>
    <w:p w14:paraId="5097AABB" w14:textId="07650693" w:rsidR="00581E16" w:rsidRPr="00581E16" w:rsidRDefault="00581E16" w:rsidP="008D2D43">
      <w:pPr>
        <w:spacing w:after="0" w:line="360" w:lineRule="auto"/>
        <w:jc w:val="both"/>
        <w:rPr>
          <w:rFonts w:ascii="Arial" w:eastAsia="Times New Roman" w:hAnsi="Arial" w:cs="Arial"/>
          <w:iCs/>
          <w:color w:val="000000"/>
          <w:sz w:val="24"/>
          <w:szCs w:val="24"/>
          <w:lang w:eastAsia="es-BO"/>
        </w:rPr>
      </w:pPr>
      <w:r>
        <w:rPr>
          <w:rFonts w:ascii="Arial" w:eastAsia="Calibri" w:hAnsi="Arial" w:cs="Arial"/>
          <w:color w:val="000000"/>
          <w:sz w:val="24"/>
          <w:szCs w:val="24"/>
          <w:shd w:val="clear" w:color="auto" w:fill="FFFFFF"/>
        </w:rPr>
        <w:t xml:space="preserve">De todo lo precedentemente expuesto, se puede concluir que, si bien el empleo de medios técnicos-modernos en predios con actividad ganadera son complementarios y </w:t>
      </w:r>
      <w:r w:rsidRPr="00581E16">
        <w:rPr>
          <w:rFonts w:ascii="Arial" w:eastAsia="Calibri" w:hAnsi="Arial" w:cs="Arial"/>
          <w:color w:val="000000"/>
          <w:sz w:val="24"/>
          <w:szCs w:val="24"/>
          <w:shd w:val="clear" w:color="auto" w:fill="FFFFFF"/>
        </w:rPr>
        <w:t>que l</w:t>
      </w:r>
      <w:r w:rsidRPr="00581E16">
        <w:rPr>
          <w:rFonts w:ascii="Arial" w:eastAsia="Calibri" w:hAnsi="Arial" w:cs="Arial"/>
          <w:bCs/>
          <w:color w:val="000000"/>
          <w:sz w:val="24"/>
          <w:szCs w:val="24"/>
          <w:shd w:val="clear" w:color="auto" w:fill="FFFFFF"/>
        </w:rPr>
        <w:t xml:space="preserve">os elementos primordiales e imprescindibles para determinar la actividad </w:t>
      </w:r>
      <w:r w:rsidRPr="00581E16">
        <w:rPr>
          <w:rFonts w:ascii="Arial" w:eastAsia="Calibri" w:hAnsi="Arial" w:cs="Arial"/>
          <w:bCs/>
          <w:color w:val="000000"/>
          <w:sz w:val="24"/>
          <w:szCs w:val="24"/>
          <w:shd w:val="clear" w:color="auto" w:fill="FFFFFF"/>
        </w:rPr>
        <w:lastRenderedPageBreak/>
        <w:t>ganadera se basan en la constatación física, real y objetiva de cabezas de ganado mayor o menor en el predio</w:t>
      </w:r>
      <w:r>
        <w:rPr>
          <w:rFonts w:ascii="Arial" w:eastAsia="Calibri" w:hAnsi="Arial" w:cs="Arial"/>
          <w:bCs/>
          <w:color w:val="000000"/>
          <w:sz w:val="24"/>
          <w:szCs w:val="24"/>
          <w:shd w:val="clear" w:color="auto" w:fill="FFFFFF"/>
        </w:rPr>
        <w:t xml:space="preserve"> </w:t>
      </w:r>
      <w:r>
        <w:rPr>
          <w:rFonts w:ascii="Arial" w:eastAsia="Calibri" w:hAnsi="Arial" w:cs="Arial"/>
          <w:color w:val="000000"/>
          <w:sz w:val="24"/>
          <w:szCs w:val="24"/>
          <w:shd w:val="clear" w:color="auto" w:fill="FFFFFF"/>
        </w:rPr>
        <w:t>y por otro: La verificación de marca de ganado en el predio</w:t>
      </w:r>
      <w:r w:rsidR="004C4FC6">
        <w:rPr>
          <w:rFonts w:ascii="Arial" w:eastAsia="Calibri" w:hAnsi="Arial" w:cs="Arial"/>
          <w:color w:val="000000"/>
          <w:sz w:val="24"/>
          <w:szCs w:val="24"/>
          <w:shd w:val="clear" w:color="auto" w:fill="FFFFFF"/>
        </w:rPr>
        <w:t>,</w:t>
      </w:r>
      <w:r>
        <w:rPr>
          <w:rFonts w:ascii="Arial" w:eastAsia="Calibri" w:hAnsi="Arial" w:cs="Arial"/>
          <w:color w:val="000000"/>
          <w:sz w:val="24"/>
          <w:szCs w:val="24"/>
          <w:shd w:val="clear" w:color="auto" w:fill="FFFFFF"/>
        </w:rPr>
        <w:t xml:space="preserve"> </w:t>
      </w:r>
      <w:r w:rsidR="004C4FC6">
        <w:rPr>
          <w:rFonts w:ascii="Arial" w:eastAsia="Calibri" w:hAnsi="Arial" w:cs="Arial"/>
          <w:color w:val="000000"/>
          <w:sz w:val="24"/>
          <w:szCs w:val="24"/>
          <w:shd w:val="clear" w:color="auto" w:fill="FFFFFF"/>
        </w:rPr>
        <w:t>l</w:t>
      </w:r>
      <w:r w:rsidRPr="00581E16">
        <w:rPr>
          <w:rFonts w:ascii="Arial" w:eastAsia="Calibri" w:hAnsi="Arial" w:cs="Arial"/>
          <w:bCs/>
          <w:color w:val="000000"/>
          <w:sz w:val="24"/>
          <w:szCs w:val="24"/>
          <w:shd w:val="clear" w:color="auto" w:fill="FFFFFF"/>
        </w:rPr>
        <w:t xml:space="preserve">o cual </w:t>
      </w:r>
      <w:r w:rsidR="004C4FC6">
        <w:rPr>
          <w:rFonts w:ascii="Arial" w:eastAsia="Calibri" w:hAnsi="Arial" w:cs="Arial"/>
          <w:bCs/>
          <w:color w:val="000000"/>
          <w:sz w:val="24"/>
          <w:szCs w:val="24"/>
          <w:shd w:val="clear" w:color="auto" w:fill="FFFFFF"/>
        </w:rPr>
        <w:t>es</w:t>
      </w:r>
      <w:r w:rsidRPr="00581E16">
        <w:rPr>
          <w:rFonts w:ascii="Arial" w:eastAsia="Calibri" w:hAnsi="Arial" w:cs="Arial"/>
          <w:bCs/>
          <w:color w:val="000000"/>
          <w:sz w:val="24"/>
          <w:szCs w:val="24"/>
          <w:shd w:val="clear" w:color="auto" w:fill="FFFFFF"/>
        </w:rPr>
        <w:t xml:space="preserve"> eviden</w:t>
      </w:r>
      <w:r w:rsidR="004C4FC6">
        <w:rPr>
          <w:rFonts w:ascii="Arial" w:eastAsia="Calibri" w:hAnsi="Arial" w:cs="Arial"/>
          <w:bCs/>
          <w:color w:val="000000"/>
          <w:sz w:val="24"/>
          <w:szCs w:val="24"/>
          <w:shd w:val="clear" w:color="auto" w:fill="FFFFFF"/>
        </w:rPr>
        <w:t>te</w:t>
      </w:r>
      <w:r w:rsidRPr="00581E16">
        <w:rPr>
          <w:rFonts w:ascii="Arial" w:eastAsia="Calibri" w:hAnsi="Arial" w:cs="Arial"/>
          <w:bCs/>
          <w:color w:val="000000"/>
          <w:sz w:val="24"/>
          <w:szCs w:val="24"/>
          <w:shd w:val="clear" w:color="auto" w:fill="FFFFFF"/>
        </w:rPr>
        <w:t xml:space="preserve"> en los predios AYACUCHO y AYACUCHO I</w:t>
      </w:r>
      <w:r>
        <w:rPr>
          <w:rFonts w:ascii="Arial" w:eastAsia="Calibri" w:hAnsi="Arial" w:cs="Arial"/>
          <w:color w:val="000000"/>
          <w:sz w:val="24"/>
          <w:szCs w:val="24"/>
          <w:shd w:val="clear" w:color="auto" w:fill="FFFFFF"/>
        </w:rPr>
        <w:t xml:space="preserve">, sin embargo, en el presente caso de autos conforme los fundamentos </w:t>
      </w:r>
      <w:r w:rsidR="00DC128C">
        <w:rPr>
          <w:rFonts w:ascii="Arial" w:eastAsia="Calibri" w:hAnsi="Arial" w:cs="Arial"/>
          <w:color w:val="000000"/>
          <w:sz w:val="24"/>
          <w:szCs w:val="24"/>
          <w:shd w:val="clear" w:color="auto" w:fill="FFFFFF"/>
        </w:rPr>
        <w:t>(</w:t>
      </w:r>
      <w:r w:rsidRPr="004C4FC6">
        <w:rPr>
          <w:rFonts w:ascii="Arial" w:eastAsia="Calibri" w:hAnsi="Arial" w:cs="Arial"/>
          <w:b/>
          <w:color w:val="000000"/>
          <w:sz w:val="24"/>
          <w:szCs w:val="24"/>
          <w:shd w:val="clear" w:color="auto" w:fill="FFFFFF"/>
        </w:rPr>
        <w:t>FJ.III.1</w:t>
      </w:r>
      <w:r w:rsidR="00DC128C">
        <w:rPr>
          <w:rFonts w:ascii="Arial" w:eastAsia="Calibri" w:hAnsi="Arial" w:cs="Arial"/>
          <w:b/>
          <w:color w:val="000000"/>
          <w:sz w:val="24"/>
          <w:szCs w:val="24"/>
          <w:shd w:val="clear" w:color="auto" w:fill="FFFFFF"/>
        </w:rPr>
        <w:t>)</w:t>
      </w:r>
      <w:r>
        <w:rPr>
          <w:rFonts w:ascii="Arial" w:eastAsia="Calibri" w:hAnsi="Arial" w:cs="Arial"/>
          <w:color w:val="000000"/>
          <w:sz w:val="24"/>
          <w:szCs w:val="24"/>
          <w:shd w:val="clear" w:color="auto" w:fill="FFFFFF"/>
        </w:rPr>
        <w:t xml:space="preserve">, </w:t>
      </w:r>
      <w:r w:rsidRPr="00581E16">
        <w:rPr>
          <w:rFonts w:ascii="Arial" w:eastAsia="Calibri" w:hAnsi="Arial" w:cs="Arial"/>
          <w:color w:val="000000"/>
          <w:sz w:val="24"/>
          <w:szCs w:val="24"/>
          <w:shd w:val="clear" w:color="auto" w:fill="FFFFFF"/>
        </w:rPr>
        <w:t xml:space="preserve">en el </w:t>
      </w:r>
      <w:r w:rsidRPr="00581E16">
        <w:rPr>
          <w:rFonts w:ascii="Arial" w:eastAsia="Times New Roman" w:hAnsi="Arial" w:cs="Arial"/>
          <w:iCs/>
          <w:color w:val="000000"/>
          <w:sz w:val="24"/>
          <w:szCs w:val="24"/>
          <w:lang w:eastAsia="es-BO"/>
        </w:rPr>
        <w:t>régimen de trabajo asalariados</w:t>
      </w:r>
      <w:r>
        <w:rPr>
          <w:rFonts w:ascii="Arial" w:eastAsia="Times New Roman" w:hAnsi="Arial" w:cs="Arial"/>
          <w:iCs/>
          <w:color w:val="000000"/>
          <w:sz w:val="24"/>
          <w:szCs w:val="24"/>
          <w:lang w:eastAsia="es-BO"/>
        </w:rPr>
        <w:t xml:space="preserve"> existe </w:t>
      </w:r>
      <w:r w:rsidR="00B57215">
        <w:rPr>
          <w:rFonts w:ascii="Arial" w:eastAsia="Times New Roman" w:hAnsi="Arial" w:cs="Arial"/>
          <w:iCs/>
          <w:color w:val="000000"/>
          <w:sz w:val="24"/>
          <w:szCs w:val="24"/>
          <w:lang w:eastAsia="es-BO"/>
        </w:rPr>
        <w:t xml:space="preserve">duda en el cumplimiento de </w:t>
      </w:r>
      <w:r>
        <w:rPr>
          <w:rFonts w:ascii="Arial" w:eastAsia="Times New Roman" w:hAnsi="Arial" w:cs="Arial"/>
          <w:iCs/>
          <w:color w:val="000000"/>
          <w:sz w:val="24"/>
          <w:szCs w:val="24"/>
          <w:lang w:eastAsia="es-BO"/>
        </w:rPr>
        <w:t xml:space="preserve">las normas laborales lo cual debe ser resuelto </w:t>
      </w:r>
      <w:r w:rsidR="00B57215">
        <w:rPr>
          <w:rFonts w:ascii="Arial" w:eastAsia="Times New Roman" w:hAnsi="Arial" w:cs="Arial"/>
          <w:iCs/>
          <w:color w:val="000000"/>
          <w:sz w:val="24"/>
          <w:szCs w:val="24"/>
          <w:lang w:eastAsia="es-BO"/>
        </w:rPr>
        <w:t>conforme el art. 1</w:t>
      </w:r>
      <w:r w:rsidR="001F43BC">
        <w:rPr>
          <w:rFonts w:ascii="Arial" w:eastAsia="Times New Roman" w:hAnsi="Arial" w:cs="Arial"/>
          <w:iCs/>
          <w:color w:val="000000"/>
          <w:sz w:val="24"/>
          <w:szCs w:val="24"/>
          <w:lang w:eastAsia="es-BO"/>
        </w:rPr>
        <w:t>57</w:t>
      </w:r>
      <w:r w:rsidR="00B57215">
        <w:rPr>
          <w:rFonts w:ascii="Arial" w:eastAsia="Times New Roman" w:hAnsi="Arial" w:cs="Arial"/>
          <w:iCs/>
          <w:color w:val="000000"/>
          <w:sz w:val="24"/>
          <w:szCs w:val="24"/>
          <w:lang w:eastAsia="es-BO"/>
        </w:rPr>
        <w:t xml:space="preserve"> del Decreto Supremo N° 29215 y el Decreto Supremo N° 388, </w:t>
      </w:r>
      <w:r>
        <w:rPr>
          <w:rFonts w:ascii="Arial" w:eastAsia="Times New Roman" w:hAnsi="Arial" w:cs="Arial"/>
          <w:iCs/>
          <w:color w:val="000000"/>
          <w:sz w:val="24"/>
          <w:szCs w:val="24"/>
          <w:lang w:eastAsia="es-BO"/>
        </w:rPr>
        <w:t xml:space="preserve">para considerar el </w:t>
      </w:r>
      <w:r w:rsidRPr="00581E16">
        <w:rPr>
          <w:rFonts w:ascii="Arial" w:eastAsia="Times New Roman" w:hAnsi="Arial" w:cs="Arial"/>
          <w:iCs/>
          <w:color w:val="000000"/>
          <w:sz w:val="24"/>
          <w:szCs w:val="24"/>
          <w:lang w:eastAsia="es-BO"/>
        </w:rPr>
        <w:t>cumplimiento de las características de propiedad</w:t>
      </w:r>
      <w:r>
        <w:rPr>
          <w:rFonts w:ascii="Arial" w:eastAsia="Times New Roman" w:hAnsi="Arial" w:cs="Arial"/>
          <w:iCs/>
          <w:color w:val="000000"/>
          <w:sz w:val="24"/>
          <w:szCs w:val="24"/>
          <w:lang w:eastAsia="es-BO"/>
        </w:rPr>
        <w:t xml:space="preserve"> empresarial.</w:t>
      </w:r>
    </w:p>
    <w:p w14:paraId="0FC83CD6"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val="es-ES" w:eastAsia="es-BO"/>
        </w:rPr>
        <w:t>FJ.III.5. Ausencia de Fundamentación, Motivación y Congruencia de la Resolución Final de Saneamiento, ahora impugnada.</w:t>
      </w:r>
    </w:p>
    <w:p w14:paraId="0FD28861"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Conforme lo glosado en el </w:t>
      </w:r>
      <w:r w:rsidRPr="00CE0B87">
        <w:rPr>
          <w:rFonts w:ascii="Arial" w:eastAsia="Times New Roman" w:hAnsi="Arial" w:cs="Arial"/>
          <w:b/>
          <w:bCs/>
          <w:color w:val="000000"/>
          <w:sz w:val="24"/>
          <w:szCs w:val="24"/>
          <w:lang w:val="es-ES" w:eastAsia="es-BO"/>
        </w:rPr>
        <w:t>FJ.II.5.</w:t>
      </w:r>
      <w:r w:rsidRPr="00CE0B87">
        <w:rPr>
          <w:rFonts w:ascii="Arial" w:eastAsia="Times New Roman" w:hAnsi="Arial" w:cs="Arial"/>
          <w:color w:val="000000"/>
          <w:sz w:val="24"/>
          <w:szCs w:val="24"/>
          <w:lang w:val="es-ES" w:eastAsia="es-BO"/>
        </w:rPr>
        <w:t>, del presente fallo, toda autoridad que emita una resolución, debe imprescindiblemente exponer los hechos, realizar la fundamentación legal y citar las normas que sustentan la parte dispositiva de la misma, por cuanto la estructura de una resolución tanto en el fondo como en la forma, dejará pleno convencimiento a las partes de que se ha actuado no sólo de acuerdo a las normas sustantivas y procesales aplicables al caso, sino que también la decisión está regida por los principios y valores supremos rectores, eliminándose cualquier interés y parcialidad, así es como lo interpreta la Sentencia Constitucional Plurinacional N° 0213/2021-S1 de 28 de junio, refiere “…</w:t>
      </w:r>
      <w:r w:rsidRPr="00CE0B87">
        <w:rPr>
          <w:rFonts w:ascii="Arial" w:eastAsia="Times New Roman" w:hAnsi="Arial" w:cs="Arial"/>
          <w:i/>
          <w:iCs/>
          <w:color w:val="000000"/>
          <w:sz w:val="24"/>
          <w:szCs w:val="24"/>
          <w:lang w:val="es-ES" w:eastAsia="es-BO"/>
        </w:rPr>
        <w:t xml:space="preserve">la fundamentación se refiere a labor argumentativa desarrollada por la autoridad competente en el conocimiento y resolución de un caso concreto, en el cual está impelido de citar todas las disposiciones legales sobre las cuales justifica su decisión; pero además, y, en casos específicos, en los cuales resulte necesario una interpretación normativa, tiene la obligación efectuar dicha labor, aplicando las pautas y métodos de la hermenéutica constitucional, en cuya labor, los principios y valores constitucionales aplicados, se constituyan en una justificación razonable de la premisa normativa; por su parte, la motivación, está relacionada a la justificación de la decisión a través de la argumentación lógico-jurídica, en la cual se desarrollan los motivos y razones que precisan y determinan los hechos facticos y los medios probatorios que fueron aportados por las partes, mismos que deben mantener una coherencia e interdependencia con la premisa normativa descrita por la misma autoridad a momento de efectuar la fundamentación; asimismo, en cuanto a la justificación, conviene precisar que esta se define como un procedimiento argumentativo a través del cual se brindan las razones de la conclusión arribada por el juzgador. En ese entender, el debido proceso en el ejercicio de la labor sancionatoria del Estado, se encuentra reconocido por la Norma Suprema, como un derecho fundamental, una garantía constitucional, y un derecho humano, a través </w:t>
      </w:r>
      <w:r w:rsidRPr="00CE0B87">
        <w:rPr>
          <w:rFonts w:ascii="Arial" w:eastAsia="Times New Roman" w:hAnsi="Arial" w:cs="Arial"/>
          <w:i/>
          <w:iCs/>
          <w:color w:val="000000"/>
          <w:sz w:val="24"/>
          <w:szCs w:val="24"/>
          <w:lang w:val="es-ES" w:eastAsia="es-BO"/>
        </w:rPr>
        <w:lastRenderedPageBreak/>
        <w:t>de los arts.115.II y 117.I de la CPE, art. 8 de la Convención Americana de Derechos Humanos (CADH), y art. 14 del Pacto Internacional de Derechos Civiles y Políticos (PIDCP), lo cual conlleva a que, respecto la fundamentación y motivación, como elementos del referido debido proceso, las autoridades competentes deben ajustar su labor argumentativa a los principios y valores constitucionales y al bloque de constitucionalidad, cuyo resultado entre otros sea la obtención de decisiones justas y razonables, logrando al mismo tiempo el convencimiento en los justiciables; pero además, dejar de lado la arbitrariedad en las resoluciones”, </w:t>
      </w:r>
      <w:r w:rsidRPr="00CE0B87">
        <w:rPr>
          <w:rFonts w:ascii="Arial" w:eastAsia="Times New Roman" w:hAnsi="Arial" w:cs="Arial"/>
          <w:color w:val="000000"/>
          <w:sz w:val="24"/>
          <w:szCs w:val="24"/>
          <w:lang w:val="es-ES" w:eastAsia="es-BO"/>
        </w:rPr>
        <w:t>por otro lado la Sentencia Constitucional Plurinacional N° 0027/2019-S3 de 1 de marzo, estableció al respecto: “…</w:t>
      </w:r>
      <w:r w:rsidRPr="00CE0B87">
        <w:rPr>
          <w:rFonts w:ascii="Arial" w:eastAsia="Times New Roman" w:hAnsi="Arial" w:cs="Arial"/>
          <w:i/>
          <w:iCs/>
          <w:color w:val="000000"/>
          <w:sz w:val="24"/>
          <w:szCs w:val="24"/>
          <w:lang w:val="es-ES" w:eastAsia="es-BO"/>
        </w:rPr>
        <w:t>la SCP 0055/2014 de 3 de enero, sostuvo: “La congruencia de las resoluciones judiciales integra los componentes del debido proceso. En ese contexto, a partir de una concepción doctrinal, su análisis se orienta desde dos acepciones: externa, entendida como principio rector de toda resolución judicial, que exige la plena correspondencia o coincidencia entre el planteamiento de las partes (demanda, respuesta e impugnación y respuesta) y lo resuelto por las autoridades judiciales, sin que el juzgador tome en cuenta aspectos ajenos a la controversia; interna, porque entendida la resolución como una unidad congruente, en ella se debe cuidar un hilo conductor que le dote de orden y racionalidad, desde la parte considerativa de los hechos, la identificación de los agravios, la valoración de los mismos y los efectos de la parte dispositiva; es decir, se pretenden evitar que, en una misma resolución no existan consideraciones contradictorias entre sí o con el punto de la misma decisión…”</w:t>
      </w:r>
    </w:p>
    <w:p w14:paraId="1AC6B247" w14:textId="445A6C61"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t>De lo expuesto, se evidencia que en el Informe en Conclusiones </w:t>
      </w:r>
      <w:r w:rsidRPr="00CE0B87">
        <w:rPr>
          <w:rFonts w:ascii="Arial" w:eastAsia="Times New Roman" w:hAnsi="Arial" w:cs="Arial"/>
          <w:color w:val="000000"/>
          <w:sz w:val="24"/>
          <w:szCs w:val="24"/>
          <w:lang w:eastAsia="es-BO"/>
        </w:rPr>
        <w:t>Saneamiento de Oficio (SAN – SIM) de 30 de octubre de 2015</w:t>
      </w:r>
      <w:r w:rsidRPr="00CE0B87">
        <w:rPr>
          <w:rFonts w:ascii="Arial" w:eastAsia="Times New Roman" w:hAnsi="Arial" w:cs="Arial"/>
          <w:b/>
          <w:bCs/>
          <w:color w:val="000000"/>
          <w:sz w:val="24"/>
          <w:szCs w:val="24"/>
          <w:lang w:eastAsia="es-BO"/>
        </w:rPr>
        <w:t> (I.5.1.20.)</w:t>
      </w:r>
      <w:r w:rsidRPr="00CE0B87">
        <w:rPr>
          <w:rFonts w:ascii="Arial" w:eastAsia="Times New Roman" w:hAnsi="Arial" w:cs="Arial"/>
          <w:color w:val="000000"/>
          <w:sz w:val="24"/>
          <w:szCs w:val="24"/>
          <w:lang w:val="es-ES" w:eastAsia="es-BO"/>
        </w:rPr>
        <w:t>, no se realizó un adecuado análisis y valoración integral con relación a los actuados que se recabaron y verificaron en campo, y que cursan en el proceso de saneamiento, así como del </w:t>
      </w:r>
      <w:r w:rsidRPr="00CE0B87">
        <w:rPr>
          <w:rFonts w:ascii="Arial" w:eastAsia="Times New Roman" w:hAnsi="Arial" w:cs="Arial"/>
          <w:color w:val="000000"/>
          <w:sz w:val="24"/>
          <w:szCs w:val="24"/>
          <w:lang w:eastAsia="es-BO"/>
        </w:rPr>
        <w:t>Informe Técnico Legal JRLL-SCN-INF-SAN No 36/2020 de 14 de febrero</w:t>
      </w:r>
      <w:r w:rsidRPr="00CE0B87">
        <w:rPr>
          <w:rFonts w:ascii="Arial" w:eastAsia="Times New Roman" w:hAnsi="Arial" w:cs="Arial"/>
          <w:b/>
          <w:bCs/>
          <w:color w:val="000000"/>
          <w:sz w:val="24"/>
          <w:szCs w:val="24"/>
          <w:lang w:eastAsia="es-BO"/>
        </w:rPr>
        <w:t> (I.5.1.21.)</w:t>
      </w:r>
      <w:r w:rsidRPr="00CE0B87">
        <w:rPr>
          <w:rFonts w:ascii="Arial" w:eastAsia="Times New Roman" w:hAnsi="Arial" w:cs="Arial"/>
          <w:color w:val="000000"/>
          <w:sz w:val="24"/>
          <w:szCs w:val="24"/>
          <w:lang w:val="es-ES" w:eastAsia="es-BO"/>
        </w:rPr>
        <w:t>, Informes que dieron lugar  a la emisión de la Resolución Suprema 26918 de 21 de octubre</w:t>
      </w:r>
      <w:r w:rsidRPr="00CE0B87">
        <w:rPr>
          <w:rFonts w:ascii="Arial" w:eastAsia="Times New Roman" w:hAnsi="Arial" w:cs="Arial"/>
          <w:b/>
          <w:bCs/>
          <w:color w:val="000000"/>
          <w:sz w:val="24"/>
          <w:szCs w:val="24"/>
          <w:lang w:eastAsia="es-BO"/>
        </w:rPr>
        <w:t> (I.5.1.22.)</w:t>
      </w:r>
      <w:r w:rsidRPr="00CE0B87">
        <w:rPr>
          <w:rFonts w:ascii="Arial" w:eastAsia="Times New Roman" w:hAnsi="Arial" w:cs="Arial"/>
          <w:color w:val="000000"/>
          <w:sz w:val="24"/>
          <w:szCs w:val="24"/>
          <w:lang w:val="es-ES" w:eastAsia="es-BO"/>
        </w:rPr>
        <w:t xml:space="preserve">, estableciendo </w:t>
      </w:r>
      <w:r w:rsidR="007D7E56" w:rsidRPr="00CE0B87">
        <w:rPr>
          <w:rFonts w:ascii="Arial" w:eastAsia="Times New Roman" w:hAnsi="Arial" w:cs="Arial"/>
          <w:color w:val="000000"/>
          <w:sz w:val="24"/>
          <w:szCs w:val="24"/>
          <w:lang w:val="es-ES" w:eastAsia="es-BO"/>
        </w:rPr>
        <w:t>vía conversión y adjudicación otorgar nuevos títulos ejecutoriales</w:t>
      </w:r>
      <w:r w:rsidRPr="00CE0B87">
        <w:rPr>
          <w:rFonts w:ascii="Arial" w:eastAsia="Times New Roman" w:hAnsi="Arial" w:cs="Arial"/>
          <w:color w:val="000000"/>
          <w:sz w:val="24"/>
          <w:szCs w:val="24"/>
          <w:lang w:val="es-ES" w:eastAsia="es-BO"/>
        </w:rPr>
        <w:t xml:space="preserve"> a favor de </w:t>
      </w:r>
      <w:proofErr w:type="spellStart"/>
      <w:r w:rsidRPr="00CE0B87">
        <w:rPr>
          <w:rFonts w:ascii="Arial" w:eastAsia="Times New Roman" w:hAnsi="Arial" w:cs="Arial"/>
          <w:color w:val="000000"/>
          <w:sz w:val="24"/>
          <w:szCs w:val="24"/>
          <w:lang w:val="es-ES" w:eastAsia="es-BO"/>
        </w:rPr>
        <w:t>Ayako</w:t>
      </w:r>
      <w:proofErr w:type="spellEnd"/>
      <w:r w:rsidRPr="00CE0B87">
        <w:rPr>
          <w:rFonts w:ascii="Arial" w:eastAsia="Times New Roman" w:hAnsi="Arial" w:cs="Arial"/>
          <w:color w:val="000000"/>
          <w:sz w:val="24"/>
          <w:szCs w:val="24"/>
          <w:lang w:val="es-ES" w:eastAsia="es-BO"/>
        </w:rPr>
        <w:t xml:space="preserve"> Cecilia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de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y Diana </w:t>
      </w:r>
      <w:proofErr w:type="spellStart"/>
      <w:r w:rsidRPr="00CE0B87">
        <w:rPr>
          <w:rFonts w:ascii="Arial" w:eastAsia="Times New Roman" w:hAnsi="Arial" w:cs="Arial"/>
          <w:color w:val="000000"/>
          <w:sz w:val="24"/>
          <w:szCs w:val="24"/>
          <w:lang w:val="es-ES" w:eastAsia="es-BO"/>
        </w:rPr>
        <w:t>Maeshiro</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Kochi</w:t>
      </w:r>
      <w:proofErr w:type="spellEnd"/>
      <w:r w:rsidRPr="00CE0B87">
        <w:rPr>
          <w:rFonts w:ascii="Arial" w:eastAsia="Times New Roman" w:hAnsi="Arial" w:cs="Arial"/>
          <w:color w:val="000000"/>
          <w:sz w:val="24"/>
          <w:szCs w:val="24"/>
          <w:lang w:val="es-ES" w:eastAsia="es-BO"/>
        </w:rPr>
        <w:t xml:space="preserve">, el predio denominado “Ayacucho”, en una superficie de </w:t>
      </w:r>
      <w:r w:rsidR="007D7E56" w:rsidRPr="00CE0B87">
        <w:rPr>
          <w:rFonts w:ascii="Arial" w:eastAsia="Times New Roman" w:hAnsi="Arial" w:cs="Arial"/>
          <w:color w:val="000000"/>
          <w:sz w:val="24"/>
          <w:szCs w:val="24"/>
          <w:lang w:val="es-ES" w:eastAsia="es-BO"/>
        </w:rPr>
        <w:t>4049.5817</w:t>
      </w:r>
      <w:r w:rsidRPr="00CE0B87">
        <w:rPr>
          <w:rFonts w:ascii="Arial" w:eastAsia="Times New Roman" w:hAnsi="Arial" w:cs="Arial"/>
          <w:color w:val="000000"/>
          <w:sz w:val="24"/>
          <w:szCs w:val="24"/>
          <w:lang w:val="es-ES" w:eastAsia="es-BO"/>
        </w:rPr>
        <w:t xml:space="preserve"> ha, identificada como propiedad empresarial, con actividad ganadera; a </w:t>
      </w:r>
      <w:proofErr w:type="spellStart"/>
      <w:r w:rsidRPr="00CE0B87">
        <w:rPr>
          <w:rFonts w:ascii="Arial" w:eastAsia="Times New Roman" w:hAnsi="Arial" w:cs="Arial"/>
          <w:color w:val="000000"/>
          <w:sz w:val="24"/>
          <w:szCs w:val="24"/>
          <w:lang w:val="es-ES" w:eastAsia="es-BO"/>
        </w:rPr>
        <w:t>Joaquin</w:t>
      </w:r>
      <w:proofErr w:type="spellEnd"/>
      <w:r w:rsidRPr="00CE0B87">
        <w:rPr>
          <w:rFonts w:ascii="Arial" w:eastAsia="Times New Roman" w:hAnsi="Arial" w:cs="Arial"/>
          <w:color w:val="000000"/>
          <w:sz w:val="24"/>
          <w:szCs w:val="24"/>
          <w:lang w:val="es-ES" w:eastAsia="es-BO"/>
        </w:rPr>
        <w:t xml:space="preserve"> </w:t>
      </w:r>
      <w:proofErr w:type="spellStart"/>
      <w:r w:rsidRPr="00CE0B87">
        <w:rPr>
          <w:rFonts w:ascii="Arial" w:eastAsia="Times New Roman" w:hAnsi="Arial" w:cs="Arial"/>
          <w:color w:val="000000"/>
          <w:sz w:val="24"/>
          <w:szCs w:val="24"/>
          <w:lang w:val="es-ES" w:eastAsia="es-BO"/>
        </w:rPr>
        <w:t>Eguez</w:t>
      </w:r>
      <w:proofErr w:type="spellEnd"/>
      <w:r w:rsidRPr="00CE0B87">
        <w:rPr>
          <w:rFonts w:ascii="Arial" w:eastAsia="Times New Roman" w:hAnsi="Arial" w:cs="Arial"/>
          <w:color w:val="000000"/>
          <w:sz w:val="24"/>
          <w:szCs w:val="24"/>
          <w:lang w:val="es-ES" w:eastAsia="es-BO"/>
        </w:rPr>
        <w:t xml:space="preserve"> París el predio denominado “Ayacucho I” en una superficie de 5050.7483 ha, identificada como propiedad empresarial, con actividad ganadera; y a Randolfo Saravia Flores el predio denominado “Tunuma” en una superficie de 1846.5688 ha, identificada como propiedad mediana, con actividad ganadera.</w:t>
      </w:r>
    </w:p>
    <w:p w14:paraId="53B21ABE"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Por otra parte, los codemandados y de manera más expresa, </w:t>
      </w:r>
      <w:r w:rsidRPr="00CE0B87">
        <w:rPr>
          <w:rFonts w:ascii="Arial" w:eastAsia="Times New Roman" w:hAnsi="Arial" w:cs="Arial"/>
          <w:color w:val="000000"/>
          <w:sz w:val="24"/>
          <w:szCs w:val="24"/>
          <w:lang w:eastAsia="es-BO"/>
        </w:rPr>
        <w:t>el Ministerio de Desarrollo Rural y Tierras, mediante memorial de contestación (</w:t>
      </w:r>
      <w:r w:rsidRPr="00CE0B87">
        <w:rPr>
          <w:rFonts w:ascii="Arial" w:eastAsia="Times New Roman" w:hAnsi="Arial" w:cs="Arial"/>
          <w:b/>
          <w:bCs/>
          <w:color w:val="000000"/>
          <w:sz w:val="24"/>
          <w:szCs w:val="24"/>
          <w:lang w:eastAsia="es-BO"/>
        </w:rPr>
        <w:t>I.2.2.</w:t>
      </w:r>
      <w:r w:rsidRPr="00CE0B87">
        <w:rPr>
          <w:rFonts w:ascii="Arial" w:eastAsia="Times New Roman" w:hAnsi="Arial" w:cs="Arial"/>
          <w:color w:val="000000"/>
          <w:sz w:val="24"/>
          <w:szCs w:val="24"/>
          <w:lang w:eastAsia="es-BO"/>
        </w:rPr>
        <w:t>), que cursa de fs. 132 a 135 vta. de obrados, solicita se declare probada la demanda, y nula la </w:t>
      </w:r>
      <w:r w:rsidRPr="00CE0B87">
        <w:rPr>
          <w:rFonts w:ascii="Arial" w:eastAsia="Times New Roman" w:hAnsi="Arial" w:cs="Arial"/>
          <w:color w:val="000000"/>
          <w:sz w:val="24"/>
          <w:szCs w:val="24"/>
          <w:lang w:val="es-ES" w:eastAsia="es-BO"/>
        </w:rPr>
        <w:t>Resolución Suprema 26918 de 21 de octubre de 2020</w:t>
      </w:r>
      <w:r w:rsidRPr="00CE0B87">
        <w:rPr>
          <w:rFonts w:ascii="Arial" w:eastAsia="Times New Roman" w:hAnsi="Arial" w:cs="Arial"/>
          <w:color w:val="000000"/>
          <w:sz w:val="24"/>
          <w:szCs w:val="24"/>
          <w:lang w:eastAsia="es-BO"/>
        </w:rPr>
        <w:t>, argumentando </w:t>
      </w:r>
      <w:r w:rsidRPr="00CE0B87">
        <w:rPr>
          <w:rFonts w:ascii="Arial" w:eastAsia="Times New Roman" w:hAnsi="Arial" w:cs="Arial"/>
          <w:color w:val="000000"/>
          <w:sz w:val="24"/>
          <w:szCs w:val="24"/>
          <w:lang w:val="es-ES" w:eastAsia="es-BO"/>
        </w:rPr>
        <w:t>que la interposición de la demanda contenciosa administrativa, deviene de una inadecuada valoración del antecedente agrario, por haberse identificado relaciones servidumbrales, fraccionamiento fraudulento e incumplimiento de las características de la propiedad mediana y empresarial agropecuaria, aspecto que habrían ocasionado la falta de congruencia en </w:t>
      </w:r>
      <w:r w:rsidRPr="00CE0B87">
        <w:rPr>
          <w:rFonts w:ascii="Arial" w:eastAsia="Times New Roman" w:hAnsi="Arial" w:cs="Arial"/>
          <w:color w:val="000000"/>
          <w:sz w:val="24"/>
          <w:szCs w:val="24"/>
          <w:lang w:eastAsia="es-BO"/>
        </w:rPr>
        <w:t>la Resolución Final de Saneamiento, implicando tal petición en allanamiento expreso a la demanda contenciosa administrativa; por otra, con relación a lo aducido por </w:t>
      </w:r>
      <w:r w:rsidRPr="00CE0B87">
        <w:rPr>
          <w:rFonts w:ascii="Arial" w:eastAsia="Times New Roman" w:hAnsi="Arial" w:cs="Arial"/>
          <w:color w:val="000000"/>
          <w:sz w:val="24"/>
          <w:szCs w:val="24"/>
          <w:lang w:val="es-ES" w:eastAsia="es-BO"/>
        </w:rPr>
        <w:t>el Director Nacional a. i. del INRA, que por sí mismo, en su calidad de tercero interesado, y en representación legal del </w:t>
      </w:r>
      <w:r w:rsidRPr="00CE0B87">
        <w:rPr>
          <w:rFonts w:ascii="Arial" w:eastAsia="Times New Roman" w:hAnsi="Arial" w:cs="Arial"/>
          <w:color w:val="000000"/>
          <w:sz w:val="24"/>
          <w:szCs w:val="24"/>
          <w:lang w:eastAsia="es-BO"/>
        </w:rPr>
        <w:t>codemandado Presidente del Estado Plurinacional de Bolivia, que a tiempo de realizar una relación de los actuados del proceso de saneamiento, y contestar la demanda mediante memorial de fs. 142 a 148 de obrados (</w:t>
      </w:r>
      <w:r w:rsidRPr="00CE0B87">
        <w:rPr>
          <w:rFonts w:ascii="Arial" w:eastAsia="Times New Roman" w:hAnsi="Arial" w:cs="Arial"/>
          <w:b/>
          <w:bCs/>
          <w:color w:val="000000"/>
          <w:sz w:val="24"/>
          <w:szCs w:val="24"/>
          <w:lang w:eastAsia="es-BO"/>
        </w:rPr>
        <w:t>I.2.1.</w:t>
      </w:r>
      <w:r w:rsidRPr="00CE0B87">
        <w:rPr>
          <w:rFonts w:ascii="Arial" w:eastAsia="Times New Roman" w:hAnsi="Arial" w:cs="Arial"/>
          <w:color w:val="000000"/>
          <w:sz w:val="24"/>
          <w:szCs w:val="24"/>
          <w:lang w:eastAsia="es-BO"/>
        </w:rPr>
        <w:t>), pide que esta instancia jurisdiccional pronuncie el correspondiente fallo conforme corresponda a derecho, tomando en cuenta los antecedentes contenidos en el indicado proceso de saneamiento y la normativa legal aplicable al presente caso; conclusiones que también se traducen en un allanamiento tácito a la demanda de parte del codemandado, por cuanto no desvirtúa las observaciones de la demanda contenciosa administrativa; por cuanto los memoriales de contestación de los codemandados y del tercero interesado (INRA), suponen el allanamiento a la demanda contenciosa administrativa; al respecto, el art. 347 del Código de Procedimiento Civil, establece que: </w:t>
      </w:r>
      <w:r w:rsidRPr="00CE0B87">
        <w:rPr>
          <w:rFonts w:ascii="Arial" w:eastAsia="Times New Roman" w:hAnsi="Arial" w:cs="Arial"/>
          <w:i/>
          <w:iCs/>
          <w:color w:val="000000"/>
          <w:sz w:val="24"/>
          <w:szCs w:val="24"/>
          <w:lang w:eastAsia="es-BO"/>
        </w:rPr>
        <w:t>“Si el demandado confesare clara y positivamente la demanda, el juez pronunciará sentencia sin necesidad de otra prueba ni trámite. Si confesare una parte, sólo en ésta se tendrá por probada, debiendo proseguir el proceso sobre los demás puntos demandados</w:t>
      </w:r>
      <w:r w:rsidRPr="00CE0B87">
        <w:rPr>
          <w:rFonts w:ascii="Arial" w:eastAsia="Times New Roman" w:hAnsi="Arial" w:cs="Arial"/>
          <w:color w:val="000000"/>
          <w:sz w:val="24"/>
          <w:szCs w:val="24"/>
          <w:lang w:eastAsia="es-BO"/>
        </w:rPr>
        <w:t>”, disposición adjetiva civil, aplicable supletoriamente a la materia por la permisión dispuesta por el art. 78 de la Ley N° 1715, norma procesales del Código de Procedimiento Civil, que en función a la permisibilidad dispuesta por la Disposición Final Tercera de la Ley N° 439, implicando que la sentencia que se emite, ante el allanamiento expreso y tácito de los codemandados y del tercero interesado INRA, supone también el análisis y pronunciamiento en el fondo, produciendo los efectos de cosa juzgada, provocando la terminación del proceso con sentencia en el fondo que declare probada la demanda contenciosa, con base a los fundamentos y argumentos expuestos.</w:t>
      </w:r>
    </w:p>
    <w:p w14:paraId="72B8D9C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val="es-ES" w:eastAsia="es-BO"/>
        </w:rPr>
        <w:lastRenderedPageBreak/>
        <w:t>De los fundamentos de hecho y de derecho expuestos, se concluye que el ente ejecutor del saneamiento, incurrió en falta de congruencia, motivación y fundamentación en la Resolución Suprema N° 26918 de 21 de octubre de 2020 </w:t>
      </w:r>
      <w:r w:rsidRPr="00CE0B87">
        <w:rPr>
          <w:rFonts w:ascii="Arial" w:eastAsia="Times New Roman" w:hAnsi="Arial" w:cs="Arial"/>
          <w:b/>
          <w:bCs/>
          <w:color w:val="000000"/>
          <w:sz w:val="24"/>
          <w:szCs w:val="24"/>
          <w:lang w:val="es-ES" w:eastAsia="es-BO"/>
        </w:rPr>
        <w:t>(</w:t>
      </w:r>
      <w:r w:rsidRPr="00CE0B87">
        <w:rPr>
          <w:rFonts w:ascii="Arial" w:eastAsia="Times New Roman" w:hAnsi="Arial" w:cs="Arial"/>
          <w:b/>
          <w:bCs/>
          <w:color w:val="000000"/>
          <w:sz w:val="24"/>
          <w:szCs w:val="24"/>
          <w:lang w:eastAsia="es-BO"/>
        </w:rPr>
        <w:t>I.5.1.22.)</w:t>
      </w:r>
      <w:r w:rsidRPr="00CE0B87">
        <w:rPr>
          <w:rFonts w:ascii="Arial" w:eastAsia="Times New Roman" w:hAnsi="Arial" w:cs="Arial"/>
          <w:color w:val="000000"/>
          <w:sz w:val="24"/>
          <w:szCs w:val="24"/>
          <w:lang w:eastAsia="es-BO"/>
        </w:rPr>
        <w:t> </w:t>
      </w:r>
      <w:r w:rsidRPr="00CE0B87">
        <w:rPr>
          <w:rFonts w:ascii="Arial" w:eastAsia="Times New Roman" w:hAnsi="Arial" w:cs="Arial"/>
          <w:color w:val="000000"/>
          <w:sz w:val="24"/>
          <w:szCs w:val="24"/>
          <w:lang w:val="es-ES" w:eastAsia="es-BO"/>
        </w:rPr>
        <w:t>ahora impugnada, y por ende, también se vislumbra que no efectuó un control de calidad, seguimiento y supervisión, al procedimiento administrativo de saneamiento del cual emergió la Resolución impugnada, conforme al alcance de lo previsto en el art. 266 concordante con la Disposición Transitoria Primera del Reglamento Agrario aprobado por D.S. Nº 29215 y art. 2.IV del D.S. N° 4494 de 21 de abril de 2021, vulnerando de esta manera el debido proceso en sus componentes de motivación y congruencia, valoración razonable de la prueba, con aplicación de las reglas de la sana crítica, justificando y fundamentando adecuadamente las razones por las cuales les otorga determinado valor, en base a la apreciación conjunta y armónica de toda la prueba esencial producida; correspondiendo fallar en ese sentido.</w:t>
      </w:r>
    </w:p>
    <w:p w14:paraId="38871FE0" w14:textId="77777777" w:rsidR="00820DA6" w:rsidRPr="00CE0B87" w:rsidRDefault="00820DA6" w:rsidP="00DC4D09">
      <w:pPr>
        <w:spacing w:after="0" w:line="360" w:lineRule="auto"/>
        <w:jc w:val="center"/>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III. POR TANTO</w:t>
      </w:r>
    </w:p>
    <w:p w14:paraId="32DEAEF7"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color w:val="000000"/>
          <w:sz w:val="24"/>
          <w:szCs w:val="24"/>
          <w:lang w:eastAsia="es-BO"/>
        </w:rPr>
        <w:t>La Sala Segunda del Tribunal Agroambiental, impartiendo justicia en única instancia, en mérito a la potestad conferida por los arts. 178.I, 186 y 189.3 de la CPE, concordante con lo dispuesto en los arts. 36.3 y 68 de la Ley N° 1715 modificada parcialmente por la Ley N° 3545 y los arts. 131.II y 144.I.4 de la Ley N° 025, </w:t>
      </w:r>
      <w:r w:rsidRPr="00CE0B87">
        <w:rPr>
          <w:rFonts w:ascii="Arial" w:eastAsia="Times New Roman" w:hAnsi="Arial" w:cs="Arial"/>
          <w:b/>
          <w:bCs/>
          <w:color w:val="000000"/>
          <w:sz w:val="24"/>
          <w:szCs w:val="24"/>
          <w:lang w:eastAsia="es-BO"/>
        </w:rPr>
        <w:t>FALLA</w:t>
      </w:r>
      <w:r w:rsidRPr="00CE0B87">
        <w:rPr>
          <w:rFonts w:ascii="Arial" w:eastAsia="Times New Roman" w:hAnsi="Arial" w:cs="Arial"/>
          <w:color w:val="000000"/>
          <w:sz w:val="24"/>
          <w:szCs w:val="24"/>
          <w:lang w:eastAsia="es-BO"/>
        </w:rPr>
        <w:t> declarando, </w:t>
      </w:r>
      <w:r w:rsidRPr="00CE0B87">
        <w:rPr>
          <w:rFonts w:ascii="Arial" w:eastAsia="Times New Roman" w:hAnsi="Arial" w:cs="Arial"/>
          <w:b/>
          <w:bCs/>
          <w:color w:val="000000"/>
          <w:sz w:val="24"/>
          <w:szCs w:val="24"/>
          <w:lang w:eastAsia="es-BO"/>
        </w:rPr>
        <w:t>PROBADA </w:t>
      </w:r>
      <w:r w:rsidRPr="00CE0B87">
        <w:rPr>
          <w:rFonts w:ascii="Arial" w:eastAsia="Times New Roman" w:hAnsi="Arial" w:cs="Arial"/>
          <w:color w:val="000000"/>
          <w:sz w:val="24"/>
          <w:szCs w:val="24"/>
          <w:lang w:eastAsia="es-BO"/>
        </w:rPr>
        <w:t>la demanda Contencioso Administrativa, cursante de fs. 47 a 64 de obrados, interpuesta por el Viceministerio de Tierras, representado legalmente por Ramiro José Guerrero Peñaranda, contra el </w:t>
      </w:r>
      <w:r w:rsidRPr="00CE0B87">
        <w:rPr>
          <w:rFonts w:ascii="Arial" w:eastAsia="Times New Roman" w:hAnsi="Arial" w:cs="Arial"/>
          <w:color w:val="000000"/>
          <w:sz w:val="24"/>
          <w:szCs w:val="24"/>
          <w:lang w:val="es-ES" w:eastAsia="es-BO"/>
        </w:rPr>
        <w:t>Presidente del Estado Plurinacional de Bolivia y Ministro de Desarrollo Rural y Tierras</w:t>
      </w:r>
      <w:r w:rsidRPr="00CE0B87">
        <w:rPr>
          <w:rFonts w:ascii="Arial" w:eastAsia="Times New Roman" w:hAnsi="Arial" w:cs="Arial"/>
          <w:color w:val="000000"/>
          <w:sz w:val="24"/>
          <w:szCs w:val="24"/>
          <w:lang w:eastAsia="es-BO"/>
        </w:rPr>
        <w:t>; y, en consecuencia, se dispone:</w:t>
      </w:r>
    </w:p>
    <w:p w14:paraId="23EB045C"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1.</w:t>
      </w:r>
      <w:r w:rsidRPr="00CE0B87">
        <w:rPr>
          <w:rFonts w:ascii="Arial" w:eastAsia="Times New Roman" w:hAnsi="Arial" w:cs="Arial"/>
          <w:color w:val="000000"/>
          <w:sz w:val="24"/>
          <w:szCs w:val="24"/>
          <w:lang w:eastAsia="es-BO"/>
        </w:rPr>
        <w:t> Declarar </w:t>
      </w:r>
      <w:r w:rsidRPr="00CE0B87">
        <w:rPr>
          <w:rFonts w:ascii="Arial" w:eastAsia="Times New Roman" w:hAnsi="Arial" w:cs="Arial"/>
          <w:b/>
          <w:bCs/>
          <w:color w:val="000000"/>
          <w:sz w:val="24"/>
          <w:szCs w:val="24"/>
          <w:lang w:eastAsia="es-BO"/>
        </w:rPr>
        <w:t>NULA </w:t>
      </w:r>
      <w:r w:rsidRPr="00CE0B87">
        <w:rPr>
          <w:rFonts w:ascii="Arial" w:eastAsia="Times New Roman" w:hAnsi="Arial" w:cs="Arial"/>
          <w:color w:val="000000"/>
          <w:sz w:val="24"/>
          <w:szCs w:val="24"/>
          <w:lang w:eastAsia="es-BO"/>
        </w:rPr>
        <w:t>la </w:t>
      </w:r>
      <w:r w:rsidRPr="00CE0B87">
        <w:rPr>
          <w:rFonts w:ascii="Arial" w:eastAsia="Times New Roman" w:hAnsi="Arial" w:cs="Arial"/>
          <w:color w:val="000000"/>
          <w:sz w:val="24"/>
          <w:szCs w:val="24"/>
          <w:lang w:val="es-ES" w:eastAsia="es-BO"/>
        </w:rPr>
        <w:t>Resolución Suprema 26918 de 21 de octubre de 2020, emitida dentro del proceso de Saneamiento Simple de Oficio (SAN-SIM), respecto del polígono N° 137, correspondiente a los predios denominados “Ayacucho”, “Ayacucho I” y “Tunuma”, ubicados en el municipio San Rafael, provincia Velasco del departamento de Santa Cruz</w:t>
      </w:r>
      <w:r w:rsidRPr="00CE0B87">
        <w:rPr>
          <w:rFonts w:ascii="Arial" w:eastAsia="Times New Roman" w:hAnsi="Arial" w:cs="Arial"/>
          <w:color w:val="000000"/>
          <w:sz w:val="24"/>
          <w:szCs w:val="24"/>
          <w:lang w:eastAsia="es-BO"/>
        </w:rPr>
        <w:t>, conforme a los fundamentos jurídicos de la presente sentencia.</w:t>
      </w:r>
    </w:p>
    <w:p w14:paraId="036D0B17" w14:textId="023EFF72" w:rsidR="007D7E56" w:rsidRPr="00CE0B87" w:rsidRDefault="00820DA6" w:rsidP="00CE0B87">
      <w:pPr>
        <w:spacing w:after="0" w:line="360" w:lineRule="auto"/>
        <w:jc w:val="both"/>
        <w:rPr>
          <w:rFonts w:ascii="Arial" w:eastAsia="Times New Roman" w:hAnsi="Arial" w:cs="Arial"/>
          <w:color w:val="000000"/>
          <w:sz w:val="24"/>
          <w:szCs w:val="24"/>
          <w:lang w:eastAsia="es-BO"/>
        </w:rPr>
      </w:pPr>
      <w:r w:rsidRPr="00CE0B87">
        <w:rPr>
          <w:rFonts w:ascii="Arial" w:eastAsia="Times New Roman" w:hAnsi="Arial" w:cs="Arial"/>
          <w:b/>
          <w:bCs/>
          <w:color w:val="000000"/>
          <w:sz w:val="24"/>
          <w:szCs w:val="24"/>
          <w:lang w:eastAsia="es-BO"/>
        </w:rPr>
        <w:t>2.-</w:t>
      </w:r>
      <w:r w:rsidRPr="00CE0B87">
        <w:rPr>
          <w:rFonts w:ascii="Arial" w:eastAsia="Times New Roman" w:hAnsi="Arial" w:cs="Arial"/>
          <w:color w:val="000000"/>
          <w:sz w:val="24"/>
          <w:szCs w:val="24"/>
          <w:lang w:eastAsia="es-BO"/>
        </w:rPr>
        <w:t> </w:t>
      </w:r>
      <w:r w:rsidRPr="00CE0B87">
        <w:rPr>
          <w:rFonts w:ascii="Arial" w:eastAsia="Times New Roman" w:hAnsi="Arial" w:cs="Arial"/>
          <w:b/>
          <w:bCs/>
          <w:color w:val="000000"/>
          <w:sz w:val="24"/>
          <w:szCs w:val="24"/>
          <w:lang w:eastAsia="es-BO"/>
        </w:rPr>
        <w:t>ANULAR OBRADOS</w:t>
      </w:r>
      <w:r w:rsidRPr="00CE0B87">
        <w:rPr>
          <w:rFonts w:ascii="Arial" w:eastAsia="Times New Roman" w:hAnsi="Arial" w:cs="Arial"/>
          <w:color w:val="000000"/>
          <w:sz w:val="24"/>
          <w:szCs w:val="24"/>
          <w:lang w:eastAsia="es-BO"/>
        </w:rPr>
        <w:t> hasta fs. 10</w:t>
      </w:r>
      <w:r w:rsidR="007709E8" w:rsidRPr="00CE0B87">
        <w:rPr>
          <w:rFonts w:ascii="Arial" w:eastAsia="Times New Roman" w:hAnsi="Arial" w:cs="Arial"/>
          <w:color w:val="000000"/>
          <w:sz w:val="24"/>
          <w:szCs w:val="24"/>
          <w:lang w:eastAsia="es-BO"/>
        </w:rPr>
        <w:t>05</w:t>
      </w:r>
      <w:r w:rsidRPr="00CE0B87">
        <w:rPr>
          <w:rFonts w:ascii="Arial" w:eastAsia="Times New Roman" w:hAnsi="Arial" w:cs="Arial"/>
          <w:color w:val="000000"/>
          <w:sz w:val="24"/>
          <w:szCs w:val="24"/>
          <w:lang w:eastAsia="es-BO"/>
        </w:rPr>
        <w:t xml:space="preserve"> de la carpeta de saneamiento</w:t>
      </w:r>
      <w:r w:rsidR="00BB6A31" w:rsidRPr="00CE0B87">
        <w:rPr>
          <w:rFonts w:ascii="Arial" w:eastAsia="Times New Roman" w:hAnsi="Arial" w:cs="Arial"/>
          <w:color w:val="000000"/>
          <w:sz w:val="24"/>
          <w:szCs w:val="24"/>
          <w:lang w:eastAsia="es-BO"/>
        </w:rPr>
        <w:t xml:space="preserve"> (foliación parte inferior)</w:t>
      </w:r>
      <w:r w:rsidRPr="00CE0B87">
        <w:rPr>
          <w:rFonts w:ascii="Arial" w:eastAsia="Times New Roman" w:hAnsi="Arial" w:cs="Arial"/>
          <w:color w:val="000000"/>
          <w:sz w:val="24"/>
          <w:szCs w:val="24"/>
          <w:lang w:eastAsia="es-BO"/>
        </w:rPr>
        <w:t>, inclusive hasta el “</w:t>
      </w:r>
      <w:r w:rsidR="007709E8" w:rsidRPr="00CE0B87">
        <w:rPr>
          <w:rFonts w:ascii="Arial" w:eastAsia="Times New Roman" w:hAnsi="Arial" w:cs="Arial"/>
          <w:color w:val="000000"/>
          <w:sz w:val="24"/>
          <w:szCs w:val="24"/>
          <w:lang w:eastAsia="es-BO"/>
        </w:rPr>
        <w:t xml:space="preserve">Acta de Cierre de </w:t>
      </w:r>
      <w:r w:rsidR="00325E8D" w:rsidRPr="00CE0B87">
        <w:rPr>
          <w:rFonts w:ascii="Arial" w:eastAsia="Times New Roman" w:hAnsi="Arial" w:cs="Arial"/>
          <w:color w:val="000000"/>
          <w:sz w:val="24"/>
          <w:szCs w:val="24"/>
          <w:lang w:eastAsia="es-BO"/>
        </w:rPr>
        <w:t xml:space="preserve">Relevamiento de </w:t>
      </w:r>
      <w:r w:rsidR="007709E8" w:rsidRPr="00CE0B87">
        <w:rPr>
          <w:rFonts w:ascii="Arial" w:eastAsia="Times New Roman" w:hAnsi="Arial" w:cs="Arial"/>
          <w:color w:val="000000"/>
          <w:sz w:val="24"/>
          <w:szCs w:val="24"/>
          <w:lang w:eastAsia="es-BO"/>
        </w:rPr>
        <w:t>Información en Campo”</w:t>
      </w:r>
      <w:r w:rsidRPr="00CE0B87">
        <w:rPr>
          <w:rFonts w:ascii="Arial" w:eastAsia="Times New Roman" w:hAnsi="Arial" w:cs="Arial"/>
          <w:color w:val="000000"/>
          <w:sz w:val="24"/>
          <w:szCs w:val="24"/>
          <w:lang w:eastAsia="es-BO"/>
        </w:rPr>
        <w:t>, respecto a los predios denominados </w:t>
      </w:r>
      <w:r w:rsidRPr="00CE0B87">
        <w:rPr>
          <w:rFonts w:ascii="Arial" w:eastAsia="Times New Roman" w:hAnsi="Arial" w:cs="Arial"/>
          <w:color w:val="000000"/>
          <w:sz w:val="24"/>
          <w:szCs w:val="24"/>
          <w:lang w:val="es-ES" w:eastAsia="es-BO"/>
        </w:rPr>
        <w:t>“Ayacucho”, “Ayacucho I” y “Tunuma”, ubicados en el municipio San Rafael, provincia Velasco del departamento de Santa Cruz</w:t>
      </w:r>
      <w:r w:rsidRPr="00CE0B87">
        <w:rPr>
          <w:rFonts w:ascii="Arial" w:eastAsia="Times New Roman" w:hAnsi="Arial" w:cs="Arial"/>
          <w:color w:val="000000"/>
          <w:sz w:val="24"/>
          <w:szCs w:val="24"/>
          <w:lang w:eastAsia="es-BO"/>
        </w:rPr>
        <w:t xml:space="preserve">, debiendo la entidad administrativa </w:t>
      </w:r>
      <w:r w:rsidR="00325E8D" w:rsidRPr="00CE0B87">
        <w:rPr>
          <w:rFonts w:ascii="Arial" w:eastAsia="Times New Roman" w:hAnsi="Arial" w:cs="Arial"/>
          <w:color w:val="000000"/>
          <w:sz w:val="24"/>
          <w:szCs w:val="24"/>
          <w:lang w:eastAsia="es-BO"/>
        </w:rPr>
        <w:t xml:space="preserve">dar continuidad a las demás tareas, actividades y etapas del saneamiento, </w:t>
      </w:r>
      <w:r w:rsidRPr="00CE0B87">
        <w:rPr>
          <w:rFonts w:ascii="Arial" w:eastAsia="Times New Roman" w:hAnsi="Arial" w:cs="Arial"/>
          <w:color w:val="000000"/>
          <w:sz w:val="24"/>
          <w:szCs w:val="24"/>
          <w:lang w:eastAsia="es-BO"/>
        </w:rPr>
        <w:t>realiza</w:t>
      </w:r>
      <w:r w:rsidR="0011300F" w:rsidRPr="00CE0B87">
        <w:rPr>
          <w:rFonts w:ascii="Arial" w:eastAsia="Times New Roman" w:hAnsi="Arial" w:cs="Arial"/>
          <w:color w:val="000000"/>
          <w:sz w:val="24"/>
          <w:szCs w:val="24"/>
          <w:lang w:eastAsia="es-BO"/>
        </w:rPr>
        <w:t>ndo</w:t>
      </w:r>
      <w:r w:rsidRPr="00CE0B87">
        <w:rPr>
          <w:rFonts w:ascii="Arial" w:eastAsia="Times New Roman" w:hAnsi="Arial" w:cs="Arial"/>
          <w:color w:val="000000"/>
          <w:sz w:val="24"/>
          <w:szCs w:val="24"/>
          <w:lang w:eastAsia="es-BO"/>
        </w:rPr>
        <w:t xml:space="preserve"> una nueva valoración, conforme a lo señalado en los fundamentos jurídicos del presente fallo </w:t>
      </w:r>
      <w:r w:rsidR="00325E8D" w:rsidRPr="00CE0B87">
        <w:rPr>
          <w:rFonts w:ascii="Arial" w:eastAsia="Times New Roman" w:hAnsi="Arial" w:cs="Arial"/>
          <w:color w:val="000000"/>
          <w:sz w:val="24"/>
          <w:szCs w:val="24"/>
          <w:lang w:eastAsia="es-BO"/>
        </w:rPr>
        <w:t>y</w:t>
      </w:r>
      <w:r w:rsidRPr="00CE0B87">
        <w:rPr>
          <w:rFonts w:ascii="Arial" w:eastAsia="Times New Roman" w:hAnsi="Arial" w:cs="Arial"/>
          <w:color w:val="000000"/>
          <w:sz w:val="24"/>
          <w:szCs w:val="24"/>
          <w:lang w:eastAsia="es-BO"/>
        </w:rPr>
        <w:t xml:space="preserve"> la</w:t>
      </w:r>
      <w:r w:rsidR="00325E8D" w:rsidRPr="00CE0B87">
        <w:rPr>
          <w:rFonts w:ascii="Arial" w:eastAsia="Times New Roman" w:hAnsi="Arial" w:cs="Arial"/>
          <w:color w:val="000000"/>
          <w:sz w:val="24"/>
          <w:szCs w:val="24"/>
          <w:lang w:eastAsia="es-BO"/>
        </w:rPr>
        <w:t xml:space="preserve"> posterior</w:t>
      </w:r>
      <w:r w:rsidRPr="00CE0B87">
        <w:rPr>
          <w:rFonts w:ascii="Arial" w:eastAsia="Times New Roman" w:hAnsi="Arial" w:cs="Arial"/>
          <w:color w:val="000000"/>
          <w:sz w:val="24"/>
          <w:szCs w:val="24"/>
          <w:lang w:eastAsia="es-BO"/>
        </w:rPr>
        <w:t xml:space="preserve"> emisión </w:t>
      </w:r>
      <w:bookmarkStart w:id="0" w:name="_GoBack"/>
      <w:bookmarkEnd w:id="0"/>
      <w:r w:rsidRPr="00CE0B87">
        <w:rPr>
          <w:rFonts w:ascii="Arial" w:eastAsia="Times New Roman" w:hAnsi="Arial" w:cs="Arial"/>
          <w:color w:val="000000"/>
          <w:sz w:val="24"/>
          <w:szCs w:val="24"/>
          <w:lang w:eastAsia="es-BO"/>
        </w:rPr>
        <w:lastRenderedPageBreak/>
        <w:t>de una nueva Resolución Final de Saneamiento, conforme a la Constitución Política del Estado y normas agrarias en vigencia. </w:t>
      </w:r>
    </w:p>
    <w:p w14:paraId="0A1313F8" w14:textId="5BFC91AA"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3. </w:t>
      </w:r>
      <w:r w:rsidRPr="00CE0B87">
        <w:rPr>
          <w:rFonts w:ascii="Arial" w:eastAsia="Times New Roman" w:hAnsi="Arial" w:cs="Arial"/>
          <w:color w:val="000000"/>
          <w:sz w:val="24"/>
          <w:szCs w:val="24"/>
          <w:lang w:eastAsia="es-BO"/>
        </w:rPr>
        <w:t>Notificadas las partes con la presente sentencia, devuélvase los antecedentes remitidos por el Instituto Nacional de Reforma Agraria, en el plazo máximo de 30 días, previa digitalización de los mismos.</w:t>
      </w:r>
    </w:p>
    <w:p w14:paraId="18F1BCB4" w14:textId="77777777" w:rsidR="00820DA6" w:rsidRPr="00CE0B87" w:rsidRDefault="00820DA6" w:rsidP="00CE0B87">
      <w:pPr>
        <w:spacing w:after="0" w:line="360" w:lineRule="auto"/>
        <w:jc w:val="both"/>
        <w:rPr>
          <w:rFonts w:ascii="Arial" w:eastAsia="Times New Roman" w:hAnsi="Arial" w:cs="Arial"/>
          <w:color w:val="212529"/>
          <w:sz w:val="24"/>
          <w:szCs w:val="24"/>
          <w:lang w:eastAsia="es-BO"/>
        </w:rPr>
      </w:pPr>
      <w:r w:rsidRPr="00CE0B87">
        <w:rPr>
          <w:rFonts w:ascii="Arial" w:eastAsia="Times New Roman" w:hAnsi="Arial" w:cs="Arial"/>
          <w:b/>
          <w:bCs/>
          <w:color w:val="000000"/>
          <w:sz w:val="24"/>
          <w:szCs w:val="24"/>
          <w:lang w:eastAsia="es-BO"/>
        </w:rPr>
        <w:t>Regístrese, comuníquese y archívese. -</w:t>
      </w:r>
    </w:p>
    <w:p w14:paraId="56CB1BC5" w14:textId="7C001547" w:rsidR="00EA34DC" w:rsidRPr="00CE0B87" w:rsidRDefault="00EA34DC" w:rsidP="00CE0B87">
      <w:pPr>
        <w:spacing w:after="0" w:line="360" w:lineRule="auto"/>
        <w:jc w:val="both"/>
        <w:rPr>
          <w:rFonts w:ascii="Arial" w:eastAsia="Times New Roman" w:hAnsi="Arial" w:cs="Arial"/>
          <w:b/>
          <w:bCs/>
          <w:color w:val="000000"/>
          <w:sz w:val="24"/>
          <w:szCs w:val="24"/>
          <w:lang w:val="es-ES" w:eastAsia="es-BO"/>
        </w:rPr>
      </w:pPr>
    </w:p>
    <w:sectPr w:rsidR="00EA34DC" w:rsidRPr="00CE0B87" w:rsidSect="00D56840">
      <w:footerReference w:type="default" r:id="rId8"/>
      <w:pgSz w:w="12242" w:h="18722" w:code="258"/>
      <w:pgMar w:top="2268"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1695D" w14:textId="77777777" w:rsidR="00821516" w:rsidRDefault="00821516" w:rsidP="00755B13">
      <w:pPr>
        <w:spacing w:after="0" w:line="240" w:lineRule="auto"/>
      </w:pPr>
      <w:r>
        <w:separator/>
      </w:r>
    </w:p>
  </w:endnote>
  <w:endnote w:type="continuationSeparator" w:id="0">
    <w:p w14:paraId="7E5C7DEA" w14:textId="77777777" w:rsidR="00821516" w:rsidRDefault="00821516" w:rsidP="00755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123333"/>
      <w:docPartObj>
        <w:docPartGallery w:val="Page Numbers (Bottom of Page)"/>
        <w:docPartUnique/>
      </w:docPartObj>
    </w:sdtPr>
    <w:sdtEndPr/>
    <w:sdtContent>
      <w:p w14:paraId="093E9440" w14:textId="72094EF0" w:rsidR="00A0234E" w:rsidRDefault="00A0234E">
        <w:pPr>
          <w:pStyle w:val="Piedepgina"/>
          <w:jc w:val="right"/>
        </w:pPr>
        <w:r>
          <w:fldChar w:fldCharType="begin"/>
        </w:r>
        <w:r>
          <w:instrText>PAGE   \* MERGEFORMAT</w:instrText>
        </w:r>
        <w:r>
          <w:fldChar w:fldCharType="separate"/>
        </w:r>
        <w:r w:rsidR="002F6103" w:rsidRPr="002F6103">
          <w:rPr>
            <w:noProof/>
            <w:lang w:val="es-ES"/>
          </w:rPr>
          <w:t>67</w:t>
        </w:r>
        <w:r>
          <w:fldChar w:fldCharType="end"/>
        </w:r>
      </w:p>
    </w:sdtContent>
  </w:sdt>
  <w:p w14:paraId="70F8FC11" w14:textId="77777777" w:rsidR="00A0234E" w:rsidRDefault="00A0234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E5AE36" w14:textId="77777777" w:rsidR="00821516" w:rsidRDefault="00821516" w:rsidP="00755B13">
      <w:pPr>
        <w:spacing w:after="0" w:line="240" w:lineRule="auto"/>
      </w:pPr>
      <w:r>
        <w:separator/>
      </w:r>
    </w:p>
  </w:footnote>
  <w:footnote w:type="continuationSeparator" w:id="0">
    <w:p w14:paraId="68CAAD86" w14:textId="77777777" w:rsidR="00821516" w:rsidRDefault="00821516" w:rsidP="00755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0A7C57"/>
    <w:multiLevelType w:val="multilevel"/>
    <w:tmpl w:val="4A8AEFB6"/>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4DC"/>
    <w:rsid w:val="00015388"/>
    <w:rsid w:val="0002120F"/>
    <w:rsid w:val="00021C9F"/>
    <w:rsid w:val="00024BAD"/>
    <w:rsid w:val="00027A96"/>
    <w:rsid w:val="00030650"/>
    <w:rsid w:val="0003545C"/>
    <w:rsid w:val="000373F0"/>
    <w:rsid w:val="00041AC5"/>
    <w:rsid w:val="000450DB"/>
    <w:rsid w:val="00045333"/>
    <w:rsid w:val="000465C7"/>
    <w:rsid w:val="00046A06"/>
    <w:rsid w:val="00047498"/>
    <w:rsid w:val="00050A22"/>
    <w:rsid w:val="000529E7"/>
    <w:rsid w:val="00060E6A"/>
    <w:rsid w:val="00065144"/>
    <w:rsid w:val="000653E0"/>
    <w:rsid w:val="000708D8"/>
    <w:rsid w:val="000711CB"/>
    <w:rsid w:val="00094F74"/>
    <w:rsid w:val="000C061E"/>
    <w:rsid w:val="000C13BD"/>
    <w:rsid w:val="000C3EB6"/>
    <w:rsid w:val="000D036D"/>
    <w:rsid w:val="000D46EE"/>
    <w:rsid w:val="000D6768"/>
    <w:rsid w:val="000E0186"/>
    <w:rsid w:val="000E2E7E"/>
    <w:rsid w:val="000F2C31"/>
    <w:rsid w:val="00103039"/>
    <w:rsid w:val="0010363D"/>
    <w:rsid w:val="00104E7E"/>
    <w:rsid w:val="0011300F"/>
    <w:rsid w:val="00113D51"/>
    <w:rsid w:val="00114D27"/>
    <w:rsid w:val="00122E8C"/>
    <w:rsid w:val="001274C8"/>
    <w:rsid w:val="00134E33"/>
    <w:rsid w:val="00136B18"/>
    <w:rsid w:val="00137B18"/>
    <w:rsid w:val="00141ECF"/>
    <w:rsid w:val="0014570B"/>
    <w:rsid w:val="00146C2D"/>
    <w:rsid w:val="00146D74"/>
    <w:rsid w:val="0016105D"/>
    <w:rsid w:val="0016294A"/>
    <w:rsid w:val="00162EF3"/>
    <w:rsid w:val="00163050"/>
    <w:rsid w:val="0017098C"/>
    <w:rsid w:val="00185D08"/>
    <w:rsid w:val="00190C67"/>
    <w:rsid w:val="00192709"/>
    <w:rsid w:val="001972AF"/>
    <w:rsid w:val="001A0708"/>
    <w:rsid w:val="001B2E38"/>
    <w:rsid w:val="001B5DF7"/>
    <w:rsid w:val="001B6222"/>
    <w:rsid w:val="001B7066"/>
    <w:rsid w:val="001B745E"/>
    <w:rsid w:val="001C2ECC"/>
    <w:rsid w:val="001C3E24"/>
    <w:rsid w:val="001C42A4"/>
    <w:rsid w:val="001C56FE"/>
    <w:rsid w:val="001D4EA2"/>
    <w:rsid w:val="001F35B3"/>
    <w:rsid w:val="001F38DC"/>
    <w:rsid w:val="001F424E"/>
    <w:rsid w:val="001F43BC"/>
    <w:rsid w:val="001F6BA3"/>
    <w:rsid w:val="00204C97"/>
    <w:rsid w:val="00205FBF"/>
    <w:rsid w:val="00216AEA"/>
    <w:rsid w:val="00220B43"/>
    <w:rsid w:val="00225034"/>
    <w:rsid w:val="00243DDB"/>
    <w:rsid w:val="0024612E"/>
    <w:rsid w:val="002469FA"/>
    <w:rsid w:val="002523ED"/>
    <w:rsid w:val="00256D0B"/>
    <w:rsid w:val="00256ED9"/>
    <w:rsid w:val="002570EE"/>
    <w:rsid w:val="0025794C"/>
    <w:rsid w:val="002656D3"/>
    <w:rsid w:val="00275DAB"/>
    <w:rsid w:val="00276F42"/>
    <w:rsid w:val="00277947"/>
    <w:rsid w:val="00290F69"/>
    <w:rsid w:val="002920F2"/>
    <w:rsid w:val="002A121F"/>
    <w:rsid w:val="002A32C3"/>
    <w:rsid w:val="002A345C"/>
    <w:rsid w:val="002A4EAC"/>
    <w:rsid w:val="002B0035"/>
    <w:rsid w:val="002B10E8"/>
    <w:rsid w:val="002B5368"/>
    <w:rsid w:val="002C1F65"/>
    <w:rsid w:val="002C663C"/>
    <w:rsid w:val="002D7110"/>
    <w:rsid w:val="002E70F7"/>
    <w:rsid w:val="002E71EC"/>
    <w:rsid w:val="002F2F0E"/>
    <w:rsid w:val="002F3B9F"/>
    <w:rsid w:val="002F6103"/>
    <w:rsid w:val="002F72B7"/>
    <w:rsid w:val="0030571E"/>
    <w:rsid w:val="003116B4"/>
    <w:rsid w:val="00311B81"/>
    <w:rsid w:val="00314E36"/>
    <w:rsid w:val="00324A0E"/>
    <w:rsid w:val="00325E8D"/>
    <w:rsid w:val="00335AAE"/>
    <w:rsid w:val="00350F6C"/>
    <w:rsid w:val="003611B3"/>
    <w:rsid w:val="00361C5A"/>
    <w:rsid w:val="00362E62"/>
    <w:rsid w:val="0036495B"/>
    <w:rsid w:val="00372E9D"/>
    <w:rsid w:val="003742CA"/>
    <w:rsid w:val="003777C7"/>
    <w:rsid w:val="00384F09"/>
    <w:rsid w:val="00395855"/>
    <w:rsid w:val="003961F4"/>
    <w:rsid w:val="0039693B"/>
    <w:rsid w:val="003A335A"/>
    <w:rsid w:val="003A5166"/>
    <w:rsid w:val="003A575F"/>
    <w:rsid w:val="003A592B"/>
    <w:rsid w:val="003A5BE0"/>
    <w:rsid w:val="003B0941"/>
    <w:rsid w:val="003B2901"/>
    <w:rsid w:val="003B7510"/>
    <w:rsid w:val="003C6A13"/>
    <w:rsid w:val="003C7728"/>
    <w:rsid w:val="003D2A98"/>
    <w:rsid w:val="003D30DC"/>
    <w:rsid w:val="003D6EA4"/>
    <w:rsid w:val="003E0826"/>
    <w:rsid w:val="003E525C"/>
    <w:rsid w:val="003E68C1"/>
    <w:rsid w:val="003E7394"/>
    <w:rsid w:val="003F3406"/>
    <w:rsid w:val="0040059D"/>
    <w:rsid w:val="00412032"/>
    <w:rsid w:val="004127E1"/>
    <w:rsid w:val="00422A6E"/>
    <w:rsid w:val="00433D79"/>
    <w:rsid w:val="00434295"/>
    <w:rsid w:val="0044604E"/>
    <w:rsid w:val="00450DC5"/>
    <w:rsid w:val="00456472"/>
    <w:rsid w:val="0046136A"/>
    <w:rsid w:val="00463B3A"/>
    <w:rsid w:val="00463E3C"/>
    <w:rsid w:val="00486041"/>
    <w:rsid w:val="004A6D9F"/>
    <w:rsid w:val="004A70C1"/>
    <w:rsid w:val="004B2EBC"/>
    <w:rsid w:val="004B381A"/>
    <w:rsid w:val="004B67AA"/>
    <w:rsid w:val="004C0887"/>
    <w:rsid w:val="004C3171"/>
    <w:rsid w:val="004C4FC6"/>
    <w:rsid w:val="004C5FDE"/>
    <w:rsid w:val="004C7938"/>
    <w:rsid w:val="004D2538"/>
    <w:rsid w:val="004D5DA7"/>
    <w:rsid w:val="00503093"/>
    <w:rsid w:val="0050587B"/>
    <w:rsid w:val="00511775"/>
    <w:rsid w:val="005157BD"/>
    <w:rsid w:val="00520523"/>
    <w:rsid w:val="00522175"/>
    <w:rsid w:val="00532740"/>
    <w:rsid w:val="00535883"/>
    <w:rsid w:val="005478EA"/>
    <w:rsid w:val="00552481"/>
    <w:rsid w:val="005658EB"/>
    <w:rsid w:val="00574825"/>
    <w:rsid w:val="00577099"/>
    <w:rsid w:val="00577E19"/>
    <w:rsid w:val="00581E16"/>
    <w:rsid w:val="00594B4C"/>
    <w:rsid w:val="00596275"/>
    <w:rsid w:val="005972A3"/>
    <w:rsid w:val="0059796A"/>
    <w:rsid w:val="005A0C71"/>
    <w:rsid w:val="005A515F"/>
    <w:rsid w:val="005A7ACB"/>
    <w:rsid w:val="005B3CB3"/>
    <w:rsid w:val="005B51B3"/>
    <w:rsid w:val="005C400E"/>
    <w:rsid w:val="005C7638"/>
    <w:rsid w:val="005D060B"/>
    <w:rsid w:val="005D0673"/>
    <w:rsid w:val="005D18B7"/>
    <w:rsid w:val="005E7B43"/>
    <w:rsid w:val="005F03BC"/>
    <w:rsid w:val="005F17BC"/>
    <w:rsid w:val="005F284D"/>
    <w:rsid w:val="005F57E0"/>
    <w:rsid w:val="00602272"/>
    <w:rsid w:val="00602F89"/>
    <w:rsid w:val="0061241C"/>
    <w:rsid w:val="00612491"/>
    <w:rsid w:val="0061562E"/>
    <w:rsid w:val="00620033"/>
    <w:rsid w:val="0062238A"/>
    <w:rsid w:val="0062605A"/>
    <w:rsid w:val="00630359"/>
    <w:rsid w:val="00631A23"/>
    <w:rsid w:val="00634F3C"/>
    <w:rsid w:val="0064450C"/>
    <w:rsid w:val="00644653"/>
    <w:rsid w:val="00647AC6"/>
    <w:rsid w:val="006574D6"/>
    <w:rsid w:val="006651B4"/>
    <w:rsid w:val="006669A8"/>
    <w:rsid w:val="0067050B"/>
    <w:rsid w:val="0067123A"/>
    <w:rsid w:val="00677194"/>
    <w:rsid w:val="00681B0D"/>
    <w:rsid w:val="006853E9"/>
    <w:rsid w:val="006877CC"/>
    <w:rsid w:val="00690360"/>
    <w:rsid w:val="0069262C"/>
    <w:rsid w:val="00693EED"/>
    <w:rsid w:val="006A0A9C"/>
    <w:rsid w:val="006B1506"/>
    <w:rsid w:val="006B3CE4"/>
    <w:rsid w:val="006C2C14"/>
    <w:rsid w:val="006C625B"/>
    <w:rsid w:val="006D16A3"/>
    <w:rsid w:val="006D197A"/>
    <w:rsid w:val="006D4B92"/>
    <w:rsid w:val="006D6649"/>
    <w:rsid w:val="006F6A0E"/>
    <w:rsid w:val="0071153E"/>
    <w:rsid w:val="0071516D"/>
    <w:rsid w:val="00715925"/>
    <w:rsid w:val="0071666B"/>
    <w:rsid w:val="00722333"/>
    <w:rsid w:val="00724093"/>
    <w:rsid w:val="00734100"/>
    <w:rsid w:val="007436D0"/>
    <w:rsid w:val="0075491B"/>
    <w:rsid w:val="00755A00"/>
    <w:rsid w:val="00755B13"/>
    <w:rsid w:val="007615D4"/>
    <w:rsid w:val="0076280A"/>
    <w:rsid w:val="00762A3A"/>
    <w:rsid w:val="007633F5"/>
    <w:rsid w:val="00764513"/>
    <w:rsid w:val="007709E8"/>
    <w:rsid w:val="00775CC7"/>
    <w:rsid w:val="00775CFF"/>
    <w:rsid w:val="007815A7"/>
    <w:rsid w:val="00797B56"/>
    <w:rsid w:val="007A4A10"/>
    <w:rsid w:val="007C074C"/>
    <w:rsid w:val="007C1B6D"/>
    <w:rsid w:val="007C4121"/>
    <w:rsid w:val="007C5FD0"/>
    <w:rsid w:val="007D5C33"/>
    <w:rsid w:val="007D6757"/>
    <w:rsid w:val="007D7E56"/>
    <w:rsid w:val="007E1B51"/>
    <w:rsid w:val="007F7DDC"/>
    <w:rsid w:val="00801714"/>
    <w:rsid w:val="00803E4A"/>
    <w:rsid w:val="00804CA3"/>
    <w:rsid w:val="008067AF"/>
    <w:rsid w:val="008070A8"/>
    <w:rsid w:val="00811E0A"/>
    <w:rsid w:val="00813C9F"/>
    <w:rsid w:val="00814B4B"/>
    <w:rsid w:val="00815E54"/>
    <w:rsid w:val="00820DA6"/>
    <w:rsid w:val="00821516"/>
    <w:rsid w:val="00824900"/>
    <w:rsid w:val="0083462F"/>
    <w:rsid w:val="00836612"/>
    <w:rsid w:val="00837048"/>
    <w:rsid w:val="008448F9"/>
    <w:rsid w:val="008604F3"/>
    <w:rsid w:val="0086232C"/>
    <w:rsid w:val="0086683F"/>
    <w:rsid w:val="008713F1"/>
    <w:rsid w:val="008741AF"/>
    <w:rsid w:val="00876C3B"/>
    <w:rsid w:val="00884A92"/>
    <w:rsid w:val="008915F9"/>
    <w:rsid w:val="008931F0"/>
    <w:rsid w:val="008A1ACF"/>
    <w:rsid w:val="008A33B6"/>
    <w:rsid w:val="008A4354"/>
    <w:rsid w:val="008B125A"/>
    <w:rsid w:val="008B2DF3"/>
    <w:rsid w:val="008B7676"/>
    <w:rsid w:val="008C6AE9"/>
    <w:rsid w:val="008D2136"/>
    <w:rsid w:val="008D2D43"/>
    <w:rsid w:val="008D4A3E"/>
    <w:rsid w:val="008E0144"/>
    <w:rsid w:val="008E4BBA"/>
    <w:rsid w:val="008F0366"/>
    <w:rsid w:val="008F6C71"/>
    <w:rsid w:val="00901E98"/>
    <w:rsid w:val="009056CC"/>
    <w:rsid w:val="0090597B"/>
    <w:rsid w:val="00912216"/>
    <w:rsid w:val="0091485D"/>
    <w:rsid w:val="00914E2A"/>
    <w:rsid w:val="009167E3"/>
    <w:rsid w:val="00920042"/>
    <w:rsid w:val="009223CC"/>
    <w:rsid w:val="0092338C"/>
    <w:rsid w:val="009267AE"/>
    <w:rsid w:val="00927A3B"/>
    <w:rsid w:val="009339EE"/>
    <w:rsid w:val="00934ADC"/>
    <w:rsid w:val="00935229"/>
    <w:rsid w:val="00940341"/>
    <w:rsid w:val="00942C84"/>
    <w:rsid w:val="00944C42"/>
    <w:rsid w:val="00951197"/>
    <w:rsid w:val="00951B4F"/>
    <w:rsid w:val="00951E86"/>
    <w:rsid w:val="009533FF"/>
    <w:rsid w:val="00954855"/>
    <w:rsid w:val="00955FCE"/>
    <w:rsid w:val="0096123E"/>
    <w:rsid w:val="009640E8"/>
    <w:rsid w:val="009657B5"/>
    <w:rsid w:val="00972D86"/>
    <w:rsid w:val="00976751"/>
    <w:rsid w:val="009775D4"/>
    <w:rsid w:val="00981ACA"/>
    <w:rsid w:val="0098393C"/>
    <w:rsid w:val="00987B38"/>
    <w:rsid w:val="009B06E7"/>
    <w:rsid w:val="009B30B7"/>
    <w:rsid w:val="009B60CE"/>
    <w:rsid w:val="009C0B12"/>
    <w:rsid w:val="009C7DD0"/>
    <w:rsid w:val="009E59A4"/>
    <w:rsid w:val="009F3A76"/>
    <w:rsid w:val="009F4B6B"/>
    <w:rsid w:val="009F78B5"/>
    <w:rsid w:val="009F795D"/>
    <w:rsid w:val="00A01426"/>
    <w:rsid w:val="00A0234E"/>
    <w:rsid w:val="00A06E8B"/>
    <w:rsid w:val="00A07726"/>
    <w:rsid w:val="00A25B25"/>
    <w:rsid w:val="00A33543"/>
    <w:rsid w:val="00A34DE8"/>
    <w:rsid w:val="00A467E4"/>
    <w:rsid w:val="00A52810"/>
    <w:rsid w:val="00A55E2F"/>
    <w:rsid w:val="00A56021"/>
    <w:rsid w:val="00A5687D"/>
    <w:rsid w:val="00A5726C"/>
    <w:rsid w:val="00A7396D"/>
    <w:rsid w:val="00A87649"/>
    <w:rsid w:val="00A92B14"/>
    <w:rsid w:val="00AA1C71"/>
    <w:rsid w:val="00AB20B2"/>
    <w:rsid w:val="00AB232D"/>
    <w:rsid w:val="00AB525D"/>
    <w:rsid w:val="00AC569A"/>
    <w:rsid w:val="00AD18D2"/>
    <w:rsid w:val="00AD2AE0"/>
    <w:rsid w:val="00AD3C74"/>
    <w:rsid w:val="00AD5C21"/>
    <w:rsid w:val="00AD70E0"/>
    <w:rsid w:val="00AE509F"/>
    <w:rsid w:val="00AE7892"/>
    <w:rsid w:val="00AF1ABF"/>
    <w:rsid w:val="00B00FA2"/>
    <w:rsid w:val="00B034D2"/>
    <w:rsid w:val="00B10431"/>
    <w:rsid w:val="00B1044F"/>
    <w:rsid w:val="00B12CB4"/>
    <w:rsid w:val="00B16061"/>
    <w:rsid w:val="00B249B8"/>
    <w:rsid w:val="00B276EF"/>
    <w:rsid w:val="00B3275A"/>
    <w:rsid w:val="00B43D83"/>
    <w:rsid w:val="00B4692A"/>
    <w:rsid w:val="00B47059"/>
    <w:rsid w:val="00B57215"/>
    <w:rsid w:val="00B64F62"/>
    <w:rsid w:val="00B65A23"/>
    <w:rsid w:val="00B66C5A"/>
    <w:rsid w:val="00B72982"/>
    <w:rsid w:val="00B8594F"/>
    <w:rsid w:val="00B91A1E"/>
    <w:rsid w:val="00B92341"/>
    <w:rsid w:val="00B9254D"/>
    <w:rsid w:val="00BA1972"/>
    <w:rsid w:val="00BB4511"/>
    <w:rsid w:val="00BB5D98"/>
    <w:rsid w:val="00BB6A31"/>
    <w:rsid w:val="00BC3365"/>
    <w:rsid w:val="00BC51E9"/>
    <w:rsid w:val="00BD6F65"/>
    <w:rsid w:val="00BD72E4"/>
    <w:rsid w:val="00BE29F1"/>
    <w:rsid w:val="00BE2DBC"/>
    <w:rsid w:val="00BE47CA"/>
    <w:rsid w:val="00BE48F1"/>
    <w:rsid w:val="00BE7C50"/>
    <w:rsid w:val="00BF4132"/>
    <w:rsid w:val="00C05604"/>
    <w:rsid w:val="00C06B89"/>
    <w:rsid w:val="00C07287"/>
    <w:rsid w:val="00C104CA"/>
    <w:rsid w:val="00C10AEB"/>
    <w:rsid w:val="00C114D6"/>
    <w:rsid w:val="00C13A08"/>
    <w:rsid w:val="00C13A9D"/>
    <w:rsid w:val="00C159E5"/>
    <w:rsid w:val="00C21E6D"/>
    <w:rsid w:val="00C33F9E"/>
    <w:rsid w:val="00C43A6F"/>
    <w:rsid w:val="00C53206"/>
    <w:rsid w:val="00C64133"/>
    <w:rsid w:val="00C66CBA"/>
    <w:rsid w:val="00C76528"/>
    <w:rsid w:val="00C87041"/>
    <w:rsid w:val="00C908E9"/>
    <w:rsid w:val="00C95F2F"/>
    <w:rsid w:val="00CA1818"/>
    <w:rsid w:val="00CA4745"/>
    <w:rsid w:val="00CA591B"/>
    <w:rsid w:val="00CB67AE"/>
    <w:rsid w:val="00CC0FF1"/>
    <w:rsid w:val="00CD25E9"/>
    <w:rsid w:val="00CE00FF"/>
    <w:rsid w:val="00CE0B87"/>
    <w:rsid w:val="00CE1AC6"/>
    <w:rsid w:val="00D01B3D"/>
    <w:rsid w:val="00D11144"/>
    <w:rsid w:val="00D15AAA"/>
    <w:rsid w:val="00D17099"/>
    <w:rsid w:val="00D172C5"/>
    <w:rsid w:val="00D17589"/>
    <w:rsid w:val="00D20003"/>
    <w:rsid w:val="00D201FD"/>
    <w:rsid w:val="00D2733B"/>
    <w:rsid w:val="00D32161"/>
    <w:rsid w:val="00D35D03"/>
    <w:rsid w:val="00D44666"/>
    <w:rsid w:val="00D5295C"/>
    <w:rsid w:val="00D52EF8"/>
    <w:rsid w:val="00D56840"/>
    <w:rsid w:val="00D83A99"/>
    <w:rsid w:val="00D8750F"/>
    <w:rsid w:val="00D87C9F"/>
    <w:rsid w:val="00D9086F"/>
    <w:rsid w:val="00D91768"/>
    <w:rsid w:val="00DB0FFD"/>
    <w:rsid w:val="00DB2D10"/>
    <w:rsid w:val="00DB4676"/>
    <w:rsid w:val="00DB6DDD"/>
    <w:rsid w:val="00DC128C"/>
    <w:rsid w:val="00DC2CB9"/>
    <w:rsid w:val="00DC4D09"/>
    <w:rsid w:val="00DC56F9"/>
    <w:rsid w:val="00DC60FE"/>
    <w:rsid w:val="00DC6DB0"/>
    <w:rsid w:val="00DD2829"/>
    <w:rsid w:val="00DE0122"/>
    <w:rsid w:val="00DE47E8"/>
    <w:rsid w:val="00DF02A8"/>
    <w:rsid w:val="00DF5C4E"/>
    <w:rsid w:val="00DF6CD0"/>
    <w:rsid w:val="00E00074"/>
    <w:rsid w:val="00E0322F"/>
    <w:rsid w:val="00E23964"/>
    <w:rsid w:val="00E24E65"/>
    <w:rsid w:val="00E32AAC"/>
    <w:rsid w:val="00E3344C"/>
    <w:rsid w:val="00E33AB2"/>
    <w:rsid w:val="00E431A2"/>
    <w:rsid w:val="00E44F45"/>
    <w:rsid w:val="00E525AF"/>
    <w:rsid w:val="00E528D0"/>
    <w:rsid w:val="00E530FE"/>
    <w:rsid w:val="00E54F45"/>
    <w:rsid w:val="00E55302"/>
    <w:rsid w:val="00E62073"/>
    <w:rsid w:val="00E720AE"/>
    <w:rsid w:val="00E76315"/>
    <w:rsid w:val="00E764C9"/>
    <w:rsid w:val="00E7718C"/>
    <w:rsid w:val="00E81171"/>
    <w:rsid w:val="00E81F0C"/>
    <w:rsid w:val="00E82B9D"/>
    <w:rsid w:val="00E8423D"/>
    <w:rsid w:val="00E90A53"/>
    <w:rsid w:val="00E94D4C"/>
    <w:rsid w:val="00EA34DC"/>
    <w:rsid w:val="00EA3BAA"/>
    <w:rsid w:val="00EA4041"/>
    <w:rsid w:val="00EB03F8"/>
    <w:rsid w:val="00EB0A38"/>
    <w:rsid w:val="00EB2288"/>
    <w:rsid w:val="00EB62F6"/>
    <w:rsid w:val="00ED3AC0"/>
    <w:rsid w:val="00ED5BF9"/>
    <w:rsid w:val="00ED6189"/>
    <w:rsid w:val="00ED6AAC"/>
    <w:rsid w:val="00EE00B7"/>
    <w:rsid w:val="00EE1F6D"/>
    <w:rsid w:val="00F04A92"/>
    <w:rsid w:val="00F10CCA"/>
    <w:rsid w:val="00F16224"/>
    <w:rsid w:val="00F206F0"/>
    <w:rsid w:val="00F232F1"/>
    <w:rsid w:val="00F24BDF"/>
    <w:rsid w:val="00F24C56"/>
    <w:rsid w:val="00F25AF4"/>
    <w:rsid w:val="00F34034"/>
    <w:rsid w:val="00F40A4B"/>
    <w:rsid w:val="00F46FD7"/>
    <w:rsid w:val="00F51834"/>
    <w:rsid w:val="00F52DE6"/>
    <w:rsid w:val="00F60227"/>
    <w:rsid w:val="00F644DF"/>
    <w:rsid w:val="00F652AE"/>
    <w:rsid w:val="00F6713B"/>
    <w:rsid w:val="00F70746"/>
    <w:rsid w:val="00F74521"/>
    <w:rsid w:val="00F8207B"/>
    <w:rsid w:val="00F82A41"/>
    <w:rsid w:val="00F87164"/>
    <w:rsid w:val="00F9055D"/>
    <w:rsid w:val="00F942D4"/>
    <w:rsid w:val="00FA44B5"/>
    <w:rsid w:val="00FA6A8C"/>
    <w:rsid w:val="00FA7304"/>
    <w:rsid w:val="00FB1D34"/>
    <w:rsid w:val="00FB2196"/>
    <w:rsid w:val="00FB4A02"/>
    <w:rsid w:val="00FB7674"/>
    <w:rsid w:val="00FC52ED"/>
    <w:rsid w:val="00FE4355"/>
    <w:rsid w:val="00FE7E96"/>
    <w:rsid w:val="00FF15F8"/>
    <w:rsid w:val="00FF3453"/>
    <w:rsid w:val="00FF700B"/>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E6108"/>
  <w15:chartTrackingRefBased/>
  <w15:docId w15:val="{18B20D2C-4088-42F0-9215-AA6D2CAD1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EA34DC"/>
  </w:style>
  <w:style w:type="paragraph" w:styleId="Textodeglobo">
    <w:name w:val="Balloon Text"/>
    <w:basedOn w:val="Normal"/>
    <w:link w:val="TextodegloboCar"/>
    <w:uiPriority w:val="99"/>
    <w:semiHidden/>
    <w:unhideWhenUsed/>
    <w:rsid w:val="00EA34DC"/>
    <w:pPr>
      <w:spacing w:after="0" w:line="240" w:lineRule="auto"/>
    </w:pPr>
    <w:rPr>
      <w:rFonts w:ascii="Segoe UI" w:eastAsia="Calibri" w:hAnsi="Segoe UI" w:cs="Segoe UI"/>
      <w:sz w:val="18"/>
      <w:szCs w:val="18"/>
      <w:lang w:val="es-ES"/>
    </w:rPr>
  </w:style>
  <w:style w:type="character" w:customStyle="1" w:styleId="TextodegloboCar">
    <w:name w:val="Texto de globo Car"/>
    <w:basedOn w:val="Fuentedeprrafopredeter"/>
    <w:link w:val="Textodeglobo"/>
    <w:uiPriority w:val="99"/>
    <w:semiHidden/>
    <w:rsid w:val="00EA34DC"/>
    <w:rPr>
      <w:rFonts w:ascii="Segoe UI" w:eastAsia="Calibri" w:hAnsi="Segoe UI" w:cs="Segoe UI"/>
      <w:sz w:val="18"/>
      <w:szCs w:val="18"/>
      <w:lang w:val="es-ES"/>
    </w:rPr>
  </w:style>
  <w:style w:type="paragraph" w:styleId="Prrafodelista">
    <w:name w:val="List Paragraph"/>
    <w:basedOn w:val="Normal"/>
    <w:uiPriority w:val="34"/>
    <w:qFormat/>
    <w:rsid w:val="003961F4"/>
    <w:pPr>
      <w:ind w:left="720"/>
      <w:contextualSpacing/>
    </w:pPr>
  </w:style>
  <w:style w:type="character" w:styleId="Textoennegrita">
    <w:name w:val="Strong"/>
    <w:basedOn w:val="Fuentedeprrafopredeter"/>
    <w:uiPriority w:val="22"/>
    <w:qFormat/>
    <w:rsid w:val="002A345C"/>
    <w:rPr>
      <w:b/>
      <w:bCs/>
    </w:rPr>
  </w:style>
  <w:style w:type="paragraph" w:customStyle="1" w:styleId="Default">
    <w:name w:val="Default"/>
    <w:rsid w:val="00AD2AE0"/>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Encabezado">
    <w:name w:val="header"/>
    <w:basedOn w:val="Normal"/>
    <w:link w:val="EncabezadoCar"/>
    <w:uiPriority w:val="99"/>
    <w:unhideWhenUsed/>
    <w:rsid w:val="00755B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55B13"/>
  </w:style>
  <w:style w:type="paragraph" w:styleId="Piedepgina">
    <w:name w:val="footer"/>
    <w:basedOn w:val="Normal"/>
    <w:link w:val="PiedepginaCar"/>
    <w:uiPriority w:val="99"/>
    <w:unhideWhenUsed/>
    <w:rsid w:val="00755B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55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E66C1-A40E-4235-A839-2F12023A3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3494</TotalTime>
  <Pages>67</Pages>
  <Words>28024</Words>
  <Characters>154135</Characters>
  <Application>Microsoft Office Word</Application>
  <DocSecurity>0</DocSecurity>
  <Lines>1284</Lines>
  <Paragraphs>363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181796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Davalos Vargas</dc:creator>
  <cp:keywords/>
  <dc:description/>
  <cp:lastModifiedBy>Marco Antonio Calvetty Padilla</cp:lastModifiedBy>
  <cp:revision>187</cp:revision>
  <cp:lastPrinted>2024-10-04T14:35:00Z</cp:lastPrinted>
  <dcterms:created xsi:type="dcterms:W3CDTF">2024-06-28T13:12:00Z</dcterms:created>
  <dcterms:modified xsi:type="dcterms:W3CDTF">2024-10-04T15:09:00Z</dcterms:modified>
</cp:coreProperties>
</file>